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D934D" w14:textId="553309EB" w:rsidR="009439FE" w:rsidRPr="004C6189" w:rsidRDefault="009439FE" w:rsidP="004C6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189">
        <w:rPr>
          <w:rFonts w:ascii="Times New Roman" w:hAnsi="Times New Roman" w:cs="Times New Roman"/>
          <w:b/>
          <w:sz w:val="24"/>
          <w:szCs w:val="24"/>
        </w:rPr>
        <w:t xml:space="preserve">MINISTERUL TRANSPORTURILOR </w:t>
      </w:r>
      <w:r w:rsidR="00140399">
        <w:rPr>
          <w:rFonts w:ascii="Times New Roman" w:hAnsi="Times New Roman" w:cs="Times New Roman"/>
          <w:b/>
          <w:sz w:val="24"/>
          <w:szCs w:val="24"/>
        </w:rPr>
        <w:t>Ș</w:t>
      </w:r>
      <w:r w:rsidRPr="004C6189">
        <w:rPr>
          <w:rFonts w:ascii="Times New Roman" w:hAnsi="Times New Roman" w:cs="Times New Roman"/>
          <w:b/>
          <w:sz w:val="24"/>
          <w:szCs w:val="24"/>
        </w:rPr>
        <w:t>I INFRASTRUCTURII</w:t>
      </w:r>
    </w:p>
    <w:p w14:paraId="22A8DC0C" w14:textId="77777777" w:rsidR="009439FE" w:rsidRPr="004C6189" w:rsidRDefault="009439FE" w:rsidP="004C6189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30E8191" w14:textId="77777777" w:rsidR="009439FE" w:rsidRPr="004C6189" w:rsidRDefault="009439FE" w:rsidP="004C6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4C6189">
        <w:rPr>
          <w:rFonts w:ascii="Times New Roman" w:hAnsi="Times New Roman" w:cs="Times New Roman"/>
          <w:b/>
          <w:sz w:val="24"/>
          <w:szCs w:val="24"/>
          <w:lang w:eastAsia="zh-CN"/>
        </w:rPr>
        <w:t>ORDINUL</w:t>
      </w:r>
    </w:p>
    <w:p w14:paraId="1E8D5CE9" w14:textId="77777777" w:rsidR="009439FE" w:rsidRDefault="00281D58" w:rsidP="004C6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4C618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nr. ………… </w:t>
      </w:r>
      <w:r w:rsidR="009439FE" w:rsidRPr="004C6189">
        <w:rPr>
          <w:rFonts w:ascii="Times New Roman" w:hAnsi="Times New Roman" w:cs="Times New Roman"/>
          <w:b/>
          <w:sz w:val="24"/>
          <w:szCs w:val="24"/>
          <w:lang w:eastAsia="zh-CN"/>
        </w:rPr>
        <w:t>din …………………</w:t>
      </w:r>
    </w:p>
    <w:p w14:paraId="6F2EAC04" w14:textId="77777777" w:rsidR="00A634B1" w:rsidRPr="004C6189" w:rsidRDefault="00A634B1" w:rsidP="004C6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207E18B4" w14:textId="2365BBCD" w:rsidR="003D2E01" w:rsidRDefault="009975D1" w:rsidP="009975D1">
      <w:pPr>
        <w:shd w:val="clear" w:color="auto" w:fill="FFFFFF"/>
        <w:tabs>
          <w:tab w:val="left" w:pos="426"/>
        </w:tabs>
        <w:suppressAutoHyphens/>
        <w:spacing w:after="0"/>
        <w:jc w:val="center"/>
        <w:rPr>
          <w:rStyle w:val="l5tlu1"/>
          <w:rFonts w:ascii="Times New Roman" w:hAnsi="Times New Roman" w:cs="Times New Roman"/>
          <w:color w:val="auto"/>
          <w:sz w:val="24"/>
          <w:szCs w:val="24"/>
        </w:rPr>
      </w:pPr>
      <w:r w:rsidRPr="009975D1">
        <w:rPr>
          <w:rStyle w:val="l5tlu1"/>
          <w:rFonts w:ascii="Times New Roman" w:hAnsi="Times New Roman" w:cs="Times New Roman"/>
          <w:color w:val="auto"/>
          <w:sz w:val="24"/>
          <w:szCs w:val="24"/>
        </w:rPr>
        <w:t>p</w:t>
      </w:r>
      <w:r w:rsidR="00597319">
        <w:rPr>
          <w:rStyle w:val="l5tlu1"/>
          <w:rFonts w:ascii="Times New Roman" w:hAnsi="Times New Roman" w:cs="Times New Roman"/>
          <w:color w:val="auto"/>
          <w:sz w:val="24"/>
          <w:szCs w:val="24"/>
        </w:rPr>
        <w:t>entru</w:t>
      </w:r>
      <w:r w:rsidRPr="009975D1">
        <w:rPr>
          <w:rStyle w:val="l5tlu1"/>
          <w:rFonts w:ascii="Times New Roman" w:hAnsi="Times New Roman" w:cs="Times New Roman"/>
          <w:color w:val="auto"/>
          <w:sz w:val="24"/>
          <w:szCs w:val="24"/>
        </w:rPr>
        <w:t xml:space="preserve"> modificarea </w:t>
      </w:r>
      <w:r w:rsidR="00140399">
        <w:rPr>
          <w:rStyle w:val="l5tlu1"/>
          <w:rFonts w:ascii="Times New Roman" w:hAnsi="Times New Roman" w:cs="Times New Roman"/>
          <w:color w:val="auto"/>
          <w:sz w:val="24"/>
          <w:szCs w:val="24"/>
        </w:rPr>
        <w:t>ș</w:t>
      </w:r>
      <w:r w:rsidRPr="009975D1">
        <w:rPr>
          <w:rStyle w:val="l5tlu1"/>
          <w:rFonts w:ascii="Times New Roman" w:hAnsi="Times New Roman" w:cs="Times New Roman"/>
          <w:color w:val="auto"/>
          <w:sz w:val="24"/>
          <w:szCs w:val="24"/>
        </w:rPr>
        <w:t xml:space="preserve">i completarea Ordinului ministrului transporturilor </w:t>
      </w:r>
      <w:r w:rsidR="00140399">
        <w:rPr>
          <w:rStyle w:val="l5tlu1"/>
          <w:rFonts w:ascii="Times New Roman" w:hAnsi="Times New Roman" w:cs="Times New Roman"/>
          <w:color w:val="auto"/>
          <w:sz w:val="24"/>
          <w:szCs w:val="24"/>
        </w:rPr>
        <w:t>ș</w:t>
      </w:r>
      <w:r w:rsidRPr="009975D1">
        <w:rPr>
          <w:rStyle w:val="l5tlu1"/>
          <w:rFonts w:ascii="Times New Roman" w:hAnsi="Times New Roman" w:cs="Times New Roman"/>
          <w:color w:val="auto"/>
          <w:sz w:val="24"/>
          <w:szCs w:val="24"/>
        </w:rPr>
        <w:t>i infrastructurii nr.1026/2021 privind aprobarea tarifelor de călătorie cu metroul</w:t>
      </w:r>
    </w:p>
    <w:p w14:paraId="556D824A" w14:textId="77777777" w:rsidR="009975D1" w:rsidRPr="004C6189" w:rsidRDefault="009975D1" w:rsidP="009975D1">
      <w:pPr>
        <w:shd w:val="clear" w:color="auto" w:fill="FFFFFF"/>
        <w:tabs>
          <w:tab w:val="left" w:pos="426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66506F5" w14:textId="3DD7E99D" w:rsidR="009975D1" w:rsidRPr="009975D1" w:rsidRDefault="009975D1" w:rsidP="009975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75D1">
        <w:rPr>
          <w:rFonts w:ascii="Times New Roman" w:hAnsi="Times New Roman" w:cs="Times New Roman"/>
          <w:sz w:val="24"/>
          <w:szCs w:val="24"/>
        </w:rPr>
        <w:t>În temeiul prevederilor art. II alin. (1) din Ordonan</w:t>
      </w:r>
      <w:r w:rsidR="00140399">
        <w:rPr>
          <w:rFonts w:ascii="Times New Roman" w:hAnsi="Times New Roman" w:cs="Times New Roman"/>
          <w:sz w:val="24"/>
          <w:szCs w:val="24"/>
        </w:rPr>
        <w:t>ț</w:t>
      </w:r>
      <w:r w:rsidRPr="009975D1">
        <w:rPr>
          <w:rFonts w:ascii="Times New Roman" w:hAnsi="Times New Roman" w:cs="Times New Roman"/>
          <w:sz w:val="24"/>
          <w:szCs w:val="24"/>
        </w:rPr>
        <w:t>a de urgen</w:t>
      </w:r>
      <w:r w:rsidR="00140399">
        <w:rPr>
          <w:rFonts w:ascii="Times New Roman" w:hAnsi="Times New Roman" w:cs="Times New Roman"/>
          <w:sz w:val="24"/>
          <w:szCs w:val="24"/>
        </w:rPr>
        <w:t>ț</w:t>
      </w:r>
      <w:r w:rsidRPr="009975D1">
        <w:rPr>
          <w:rFonts w:ascii="Times New Roman" w:hAnsi="Times New Roman" w:cs="Times New Roman"/>
          <w:sz w:val="24"/>
          <w:szCs w:val="24"/>
        </w:rPr>
        <w:t>ă a Guvernului nr. 57/2011 pentru abrogarea unor pozi</w:t>
      </w:r>
      <w:r w:rsidR="00140399">
        <w:rPr>
          <w:rFonts w:ascii="Times New Roman" w:hAnsi="Times New Roman" w:cs="Times New Roman"/>
          <w:sz w:val="24"/>
          <w:szCs w:val="24"/>
        </w:rPr>
        <w:t>ț</w:t>
      </w:r>
      <w:r w:rsidRPr="009975D1">
        <w:rPr>
          <w:rFonts w:ascii="Times New Roman" w:hAnsi="Times New Roman" w:cs="Times New Roman"/>
          <w:sz w:val="24"/>
          <w:szCs w:val="24"/>
        </w:rPr>
        <w:t>ii din anexa la Ordonan</w:t>
      </w:r>
      <w:r w:rsidR="00140399">
        <w:rPr>
          <w:rFonts w:ascii="Times New Roman" w:hAnsi="Times New Roman" w:cs="Times New Roman"/>
          <w:sz w:val="24"/>
          <w:szCs w:val="24"/>
        </w:rPr>
        <w:t>ț</w:t>
      </w:r>
      <w:r w:rsidRPr="009975D1">
        <w:rPr>
          <w:rFonts w:ascii="Times New Roman" w:hAnsi="Times New Roman" w:cs="Times New Roman"/>
          <w:sz w:val="24"/>
          <w:szCs w:val="24"/>
        </w:rPr>
        <w:t>a de urgen</w:t>
      </w:r>
      <w:r w:rsidR="00140399">
        <w:rPr>
          <w:rFonts w:ascii="Times New Roman" w:hAnsi="Times New Roman" w:cs="Times New Roman"/>
          <w:sz w:val="24"/>
          <w:szCs w:val="24"/>
        </w:rPr>
        <w:t>ț</w:t>
      </w:r>
      <w:r w:rsidRPr="009975D1">
        <w:rPr>
          <w:rFonts w:ascii="Times New Roman" w:hAnsi="Times New Roman" w:cs="Times New Roman"/>
          <w:sz w:val="24"/>
          <w:szCs w:val="24"/>
        </w:rPr>
        <w:t>ă a Guvernului nr. 36/2001 privind regimul pre</w:t>
      </w:r>
      <w:r w:rsidR="00140399">
        <w:rPr>
          <w:rFonts w:ascii="Times New Roman" w:hAnsi="Times New Roman" w:cs="Times New Roman"/>
          <w:sz w:val="24"/>
          <w:szCs w:val="24"/>
        </w:rPr>
        <w:t>ț</w:t>
      </w:r>
      <w:r w:rsidRPr="009975D1">
        <w:rPr>
          <w:rFonts w:ascii="Times New Roman" w:hAnsi="Times New Roman" w:cs="Times New Roman"/>
          <w:sz w:val="24"/>
          <w:szCs w:val="24"/>
        </w:rPr>
        <w:t xml:space="preserve">urilor </w:t>
      </w:r>
      <w:r w:rsidR="00140399">
        <w:rPr>
          <w:rFonts w:ascii="Times New Roman" w:hAnsi="Times New Roman" w:cs="Times New Roman"/>
          <w:sz w:val="24"/>
          <w:szCs w:val="24"/>
        </w:rPr>
        <w:t>ș</w:t>
      </w:r>
      <w:r w:rsidRPr="009975D1">
        <w:rPr>
          <w:rFonts w:ascii="Times New Roman" w:hAnsi="Times New Roman" w:cs="Times New Roman"/>
          <w:sz w:val="24"/>
          <w:szCs w:val="24"/>
        </w:rPr>
        <w:t>i tarifelor reglementate, care se stabilesc cu avizul Oficiului Concuren</w:t>
      </w:r>
      <w:r w:rsidR="00140399">
        <w:rPr>
          <w:rFonts w:ascii="Times New Roman" w:hAnsi="Times New Roman" w:cs="Times New Roman"/>
          <w:sz w:val="24"/>
          <w:szCs w:val="24"/>
        </w:rPr>
        <w:t>ț</w:t>
      </w:r>
      <w:r w:rsidRPr="009975D1">
        <w:rPr>
          <w:rFonts w:ascii="Times New Roman" w:hAnsi="Times New Roman" w:cs="Times New Roman"/>
          <w:sz w:val="24"/>
          <w:szCs w:val="24"/>
        </w:rPr>
        <w:t xml:space="preserve">ei, precum </w:t>
      </w:r>
      <w:r w:rsidR="00140399">
        <w:rPr>
          <w:rFonts w:ascii="Times New Roman" w:hAnsi="Times New Roman" w:cs="Times New Roman"/>
          <w:sz w:val="24"/>
          <w:szCs w:val="24"/>
        </w:rPr>
        <w:t>ș</w:t>
      </w:r>
      <w:r w:rsidRPr="009975D1">
        <w:rPr>
          <w:rFonts w:ascii="Times New Roman" w:hAnsi="Times New Roman" w:cs="Times New Roman"/>
          <w:sz w:val="24"/>
          <w:szCs w:val="24"/>
        </w:rPr>
        <w:t xml:space="preserve">i pentru aprobarea unor măsuri cu privire la ajustarea tarifelor de călătorie cu metroul </w:t>
      </w:r>
      <w:r w:rsidR="00140399">
        <w:rPr>
          <w:rFonts w:ascii="Times New Roman" w:hAnsi="Times New Roman" w:cs="Times New Roman"/>
          <w:sz w:val="24"/>
          <w:szCs w:val="24"/>
        </w:rPr>
        <w:t>ș</w:t>
      </w:r>
      <w:r w:rsidRPr="009975D1">
        <w:rPr>
          <w:rFonts w:ascii="Times New Roman" w:hAnsi="Times New Roman" w:cs="Times New Roman"/>
          <w:sz w:val="24"/>
          <w:szCs w:val="24"/>
        </w:rPr>
        <w:t xml:space="preserve">i de transport feroviar, aprobată prin Legea nr. 4/2012, precum </w:t>
      </w:r>
      <w:r w:rsidR="00140399">
        <w:rPr>
          <w:rFonts w:ascii="Times New Roman" w:hAnsi="Times New Roman" w:cs="Times New Roman"/>
          <w:sz w:val="24"/>
          <w:szCs w:val="24"/>
        </w:rPr>
        <w:t>ș</w:t>
      </w:r>
      <w:r w:rsidRPr="009975D1">
        <w:rPr>
          <w:rFonts w:ascii="Times New Roman" w:hAnsi="Times New Roman" w:cs="Times New Roman"/>
          <w:sz w:val="24"/>
          <w:szCs w:val="24"/>
        </w:rPr>
        <w:t xml:space="preserve">i ale art. 9 alin. (4) din Hotărârea Guvernului nr. 370/2021 privind organizarea </w:t>
      </w:r>
      <w:r w:rsidR="00140399">
        <w:rPr>
          <w:rFonts w:ascii="Times New Roman" w:hAnsi="Times New Roman" w:cs="Times New Roman"/>
          <w:sz w:val="24"/>
          <w:szCs w:val="24"/>
        </w:rPr>
        <w:t>ș</w:t>
      </w:r>
      <w:r w:rsidRPr="009975D1">
        <w:rPr>
          <w:rFonts w:ascii="Times New Roman" w:hAnsi="Times New Roman" w:cs="Times New Roman"/>
          <w:sz w:val="24"/>
          <w:szCs w:val="24"/>
        </w:rPr>
        <w:t>i func</w:t>
      </w:r>
      <w:r w:rsidR="00140399">
        <w:rPr>
          <w:rFonts w:ascii="Times New Roman" w:hAnsi="Times New Roman" w:cs="Times New Roman"/>
          <w:sz w:val="24"/>
          <w:szCs w:val="24"/>
        </w:rPr>
        <w:t>ț</w:t>
      </w:r>
      <w:r w:rsidRPr="009975D1">
        <w:rPr>
          <w:rFonts w:ascii="Times New Roman" w:hAnsi="Times New Roman" w:cs="Times New Roman"/>
          <w:sz w:val="24"/>
          <w:szCs w:val="24"/>
        </w:rPr>
        <w:t xml:space="preserve">ionarea Ministerului Transporturilor </w:t>
      </w:r>
      <w:r w:rsidR="00140399">
        <w:rPr>
          <w:rFonts w:ascii="Times New Roman" w:hAnsi="Times New Roman" w:cs="Times New Roman"/>
          <w:sz w:val="24"/>
          <w:szCs w:val="24"/>
        </w:rPr>
        <w:t>ș</w:t>
      </w:r>
      <w:r w:rsidRPr="009975D1">
        <w:rPr>
          <w:rFonts w:ascii="Times New Roman" w:hAnsi="Times New Roman" w:cs="Times New Roman"/>
          <w:sz w:val="24"/>
          <w:szCs w:val="24"/>
        </w:rPr>
        <w:t xml:space="preserve">i Infrastructurii, cu modificările </w:t>
      </w:r>
      <w:r w:rsidR="00140399">
        <w:rPr>
          <w:rFonts w:ascii="Times New Roman" w:hAnsi="Times New Roman" w:cs="Times New Roman"/>
          <w:sz w:val="24"/>
          <w:szCs w:val="24"/>
        </w:rPr>
        <w:t>ș</w:t>
      </w:r>
      <w:r w:rsidRPr="009975D1">
        <w:rPr>
          <w:rFonts w:ascii="Times New Roman" w:hAnsi="Times New Roman" w:cs="Times New Roman"/>
          <w:sz w:val="24"/>
          <w:szCs w:val="24"/>
        </w:rPr>
        <w:t>i completările ulterioare,</w:t>
      </w:r>
    </w:p>
    <w:p w14:paraId="690F4409" w14:textId="77777777" w:rsidR="009975D1" w:rsidRDefault="009975D1" w:rsidP="004C6189">
      <w:pPr>
        <w:shd w:val="clear" w:color="auto" w:fill="FFFFFF"/>
        <w:tabs>
          <w:tab w:val="left" w:pos="567"/>
        </w:tabs>
        <w:suppressAutoHyphens/>
        <w:autoSpaceDE w:val="0"/>
        <w:spacing w:after="0"/>
        <w:ind w:right="-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551BBE6" w14:textId="609F3D0D" w:rsidR="004B3E9E" w:rsidRPr="004C6189" w:rsidRDefault="004B3E9E" w:rsidP="004C6189">
      <w:pPr>
        <w:shd w:val="clear" w:color="auto" w:fill="FFFFFF"/>
        <w:tabs>
          <w:tab w:val="left" w:pos="567"/>
        </w:tabs>
        <w:suppressAutoHyphens/>
        <w:autoSpaceDE w:val="0"/>
        <w:spacing w:after="0"/>
        <w:ind w:right="-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61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ministrul transporturilor</w:t>
      </w:r>
      <w:r w:rsidRPr="004C618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1403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ș</w:t>
      </w:r>
      <w:r w:rsidRPr="004C618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 infrastructurii</w:t>
      </w:r>
      <w:r w:rsidRPr="004C618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4C6189">
        <w:rPr>
          <w:rFonts w:ascii="Times New Roman" w:eastAsia="Times New Roman" w:hAnsi="Times New Roman" w:cs="Times New Roman"/>
          <w:sz w:val="24"/>
          <w:szCs w:val="24"/>
          <w:lang w:eastAsia="zh-CN"/>
        </w:rPr>
        <w:t>emite următorul:</w:t>
      </w:r>
    </w:p>
    <w:p w14:paraId="36BF9F12" w14:textId="77777777" w:rsidR="00783825" w:rsidRPr="004C6189" w:rsidRDefault="00783825" w:rsidP="004C6189">
      <w:pPr>
        <w:shd w:val="clear" w:color="auto" w:fill="FFFFFF"/>
        <w:suppressAutoHyphens/>
        <w:autoSpaceDE w:val="0"/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140C49" w14:textId="77777777" w:rsidR="004B3E9E" w:rsidRPr="004C6189" w:rsidRDefault="004B3E9E" w:rsidP="004C6189">
      <w:pPr>
        <w:shd w:val="clear" w:color="auto" w:fill="FFFFFF"/>
        <w:suppressAutoHyphens/>
        <w:spacing w:after="0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C618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ORDIN</w:t>
      </w:r>
    </w:p>
    <w:p w14:paraId="439E206F" w14:textId="77777777" w:rsidR="00B60B31" w:rsidRPr="004C6189" w:rsidRDefault="00B60B31" w:rsidP="004C6189">
      <w:pPr>
        <w:spacing w:after="0"/>
        <w:ind w:right="-72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E10581E" w14:textId="7B76BFA1" w:rsidR="009975D1" w:rsidRDefault="009975D1" w:rsidP="004C61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5D1">
        <w:rPr>
          <w:rFonts w:ascii="Times New Roman" w:hAnsi="Times New Roman" w:cs="Times New Roman"/>
          <w:b/>
          <w:bCs/>
          <w:sz w:val="24"/>
          <w:szCs w:val="24"/>
        </w:rPr>
        <w:t xml:space="preserve">Art. 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975D1">
        <w:rPr>
          <w:rFonts w:ascii="Times New Roman" w:hAnsi="Times New Roman" w:cs="Times New Roman"/>
          <w:sz w:val="24"/>
          <w:szCs w:val="24"/>
        </w:rPr>
        <w:t xml:space="preserve">Ordinul ministrului transporturilor </w:t>
      </w:r>
      <w:r w:rsidR="00140399">
        <w:rPr>
          <w:rFonts w:ascii="Times New Roman" w:hAnsi="Times New Roman" w:cs="Times New Roman"/>
          <w:sz w:val="24"/>
          <w:szCs w:val="24"/>
        </w:rPr>
        <w:t>ș</w:t>
      </w:r>
      <w:r w:rsidRPr="009975D1">
        <w:rPr>
          <w:rFonts w:ascii="Times New Roman" w:hAnsi="Times New Roman" w:cs="Times New Roman"/>
          <w:sz w:val="24"/>
          <w:szCs w:val="24"/>
        </w:rPr>
        <w:t xml:space="preserve">i infrastructurii nr. 1026/2021 privind aprobarea tarifelor de călătorie cu metroul, publicat în Monitorul Oficial al României, Partea I, nr. 744 din 29 iulie 2021, cu modificările </w:t>
      </w:r>
      <w:r w:rsidR="00140399">
        <w:rPr>
          <w:rFonts w:ascii="Times New Roman" w:hAnsi="Times New Roman" w:cs="Times New Roman"/>
          <w:sz w:val="24"/>
          <w:szCs w:val="24"/>
        </w:rPr>
        <w:t>ș</w:t>
      </w:r>
      <w:r w:rsidRPr="009975D1">
        <w:rPr>
          <w:rFonts w:ascii="Times New Roman" w:hAnsi="Times New Roman" w:cs="Times New Roman"/>
          <w:sz w:val="24"/>
          <w:szCs w:val="24"/>
        </w:rPr>
        <w:t xml:space="preserve">i completările ulterioare, se modifică </w:t>
      </w:r>
      <w:r w:rsidR="00140399">
        <w:rPr>
          <w:rFonts w:ascii="Times New Roman" w:hAnsi="Times New Roman" w:cs="Times New Roman"/>
          <w:sz w:val="24"/>
          <w:szCs w:val="24"/>
        </w:rPr>
        <w:t>ș</w:t>
      </w:r>
      <w:r w:rsidRPr="009975D1">
        <w:rPr>
          <w:rFonts w:ascii="Times New Roman" w:hAnsi="Times New Roman" w:cs="Times New Roman"/>
          <w:sz w:val="24"/>
          <w:szCs w:val="24"/>
        </w:rPr>
        <w:t>i se completează după cum urmează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520EE73" w14:textId="16FEEAE9" w:rsidR="009975D1" w:rsidRDefault="009975D1" w:rsidP="009975D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4039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9975D1">
        <w:rPr>
          <w:rFonts w:ascii="Times New Roman" w:hAnsi="Times New Roman" w:cs="Times New Roman"/>
          <w:sz w:val="24"/>
          <w:szCs w:val="24"/>
        </w:rPr>
        <w:t xml:space="preserve"> La articolul 1, alineatul (2) se modifică </w:t>
      </w:r>
      <w:r w:rsidR="00140399">
        <w:rPr>
          <w:rFonts w:ascii="Times New Roman" w:hAnsi="Times New Roman" w:cs="Times New Roman"/>
          <w:sz w:val="24"/>
          <w:szCs w:val="24"/>
        </w:rPr>
        <w:t>ș</w:t>
      </w:r>
      <w:r w:rsidRPr="009975D1">
        <w:rPr>
          <w:rFonts w:ascii="Times New Roman" w:hAnsi="Times New Roman" w:cs="Times New Roman"/>
          <w:sz w:val="24"/>
          <w:szCs w:val="24"/>
        </w:rPr>
        <w:t>i va avea următorul cuprins:</w:t>
      </w:r>
    </w:p>
    <w:p w14:paraId="49229C37" w14:textId="67EF866F" w:rsidR="009975D1" w:rsidRDefault="009975D1" w:rsidP="009975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5D1">
        <w:rPr>
          <w:rFonts w:ascii="Times New Roman" w:hAnsi="Times New Roman" w:cs="Times New Roman"/>
          <w:sz w:val="24"/>
          <w:szCs w:val="24"/>
        </w:rPr>
        <w:t xml:space="preserve">„(2) Decontarea sumelor provenite din vânzarea titlurilor comune pentru transportul cu metroul </w:t>
      </w:r>
      <w:r w:rsidR="00140399">
        <w:rPr>
          <w:rFonts w:ascii="Times New Roman" w:hAnsi="Times New Roman" w:cs="Times New Roman"/>
          <w:sz w:val="24"/>
          <w:szCs w:val="24"/>
        </w:rPr>
        <w:t>ș</w:t>
      </w:r>
      <w:r w:rsidRPr="009975D1">
        <w:rPr>
          <w:rFonts w:ascii="Times New Roman" w:hAnsi="Times New Roman" w:cs="Times New Roman"/>
          <w:sz w:val="24"/>
          <w:szCs w:val="24"/>
        </w:rPr>
        <w:t>i STB, cuprinse în Oferta tarifară metropolitană integrată, prevăzute în anexă, se face în baza valorilor stabilite în Tabelul nr. 3 „Decontare între operatori pentru oferta tarifară metropolitană integrată”.</w:t>
      </w:r>
    </w:p>
    <w:p w14:paraId="3B874282" w14:textId="29B60E6F" w:rsidR="006E1A57" w:rsidRPr="006E1A57" w:rsidRDefault="006E1A57" w:rsidP="006E1A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A5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E1A57">
        <w:rPr>
          <w:rFonts w:ascii="Times New Roman" w:hAnsi="Times New Roman" w:cs="Times New Roman"/>
          <w:sz w:val="24"/>
          <w:szCs w:val="24"/>
        </w:rPr>
        <w:t xml:space="preserve"> După articolul 1 se introduc trei </w:t>
      </w:r>
      <w:r>
        <w:rPr>
          <w:rFonts w:ascii="Times New Roman" w:hAnsi="Times New Roman" w:cs="Times New Roman"/>
          <w:sz w:val="24"/>
          <w:szCs w:val="24"/>
        </w:rPr>
        <w:t xml:space="preserve">noi </w:t>
      </w:r>
      <w:r w:rsidRPr="006E1A57">
        <w:rPr>
          <w:rFonts w:ascii="Times New Roman" w:hAnsi="Times New Roman" w:cs="Times New Roman"/>
          <w:sz w:val="24"/>
          <w:szCs w:val="24"/>
        </w:rPr>
        <w:t>articole</w:t>
      </w:r>
      <w:r>
        <w:rPr>
          <w:rFonts w:ascii="Times New Roman" w:hAnsi="Times New Roman" w:cs="Times New Roman"/>
          <w:sz w:val="24"/>
          <w:szCs w:val="24"/>
        </w:rPr>
        <w:t>, art.</w:t>
      </w:r>
      <w:r w:rsidRPr="006E1A57">
        <w:rPr>
          <w:rFonts w:ascii="Times New Roman" w:hAnsi="Times New Roman" w:cs="Times New Roman"/>
          <w:sz w:val="24"/>
          <w:szCs w:val="24"/>
        </w:rPr>
        <w:t xml:space="preserve"> 1</w:t>
      </w:r>
      <w:r w:rsidRPr="006E1A5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E1A57">
        <w:rPr>
          <w:rFonts w:ascii="Times New Roman" w:hAnsi="Times New Roman" w:cs="Times New Roman"/>
          <w:sz w:val="24"/>
          <w:szCs w:val="24"/>
        </w:rPr>
        <w:t xml:space="preserve"> - 1</w:t>
      </w:r>
      <w:r w:rsidRPr="006E1A5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cu</w:t>
      </w:r>
      <w:r w:rsidRPr="006E1A57">
        <w:rPr>
          <w:rFonts w:ascii="Times New Roman" w:hAnsi="Times New Roman" w:cs="Times New Roman"/>
          <w:sz w:val="24"/>
          <w:szCs w:val="24"/>
        </w:rPr>
        <w:t xml:space="preserve"> următorul cuprins:</w:t>
      </w:r>
    </w:p>
    <w:p w14:paraId="162015F8" w14:textId="5575D77D" w:rsidR="006E1A57" w:rsidRPr="006E1A57" w:rsidRDefault="006E1A57" w:rsidP="006E1A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A57">
        <w:rPr>
          <w:rFonts w:ascii="Times New Roman" w:hAnsi="Times New Roman" w:cs="Times New Roman"/>
          <w:sz w:val="24"/>
          <w:szCs w:val="24"/>
        </w:rPr>
        <w:t>„</w:t>
      </w:r>
      <w:r w:rsidRPr="006E1A57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Pr="006E1A5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6E1A5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E1A57">
        <w:rPr>
          <w:rFonts w:ascii="Times New Roman" w:hAnsi="Times New Roman" w:cs="Times New Roman"/>
          <w:sz w:val="24"/>
          <w:szCs w:val="24"/>
        </w:rPr>
        <w:t xml:space="preserve"> – (1) Pentru stabilirea tarifelor aferente titlurilor comune pentru transportul cu metroul </w:t>
      </w:r>
      <w:r w:rsidR="00140399">
        <w:rPr>
          <w:rFonts w:ascii="Times New Roman" w:hAnsi="Times New Roman" w:cs="Times New Roman"/>
          <w:sz w:val="24"/>
          <w:szCs w:val="24"/>
        </w:rPr>
        <w:t>ș</w:t>
      </w:r>
      <w:r w:rsidRPr="006E1A57">
        <w:rPr>
          <w:rFonts w:ascii="Times New Roman" w:hAnsi="Times New Roman" w:cs="Times New Roman"/>
          <w:sz w:val="24"/>
          <w:szCs w:val="24"/>
        </w:rPr>
        <w:t xml:space="preserve">i STB, precum </w:t>
      </w:r>
      <w:r w:rsidR="00140399">
        <w:rPr>
          <w:rFonts w:ascii="Times New Roman" w:hAnsi="Times New Roman" w:cs="Times New Roman"/>
          <w:sz w:val="24"/>
          <w:szCs w:val="24"/>
        </w:rPr>
        <w:t>ș</w:t>
      </w:r>
      <w:r w:rsidRPr="006E1A57">
        <w:rPr>
          <w:rFonts w:ascii="Times New Roman" w:hAnsi="Times New Roman" w:cs="Times New Roman"/>
          <w:sz w:val="24"/>
          <w:szCs w:val="24"/>
        </w:rPr>
        <w:t>i a valorii cuvenite fiecărui mod de transport participant, se utilizează următoarea procedură:</w:t>
      </w:r>
    </w:p>
    <w:p w14:paraId="67F77799" w14:textId="2A2D3F0F" w:rsidR="006E1A57" w:rsidRPr="006E1A57" w:rsidRDefault="006E1A57" w:rsidP="006E1A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A57">
        <w:rPr>
          <w:rFonts w:ascii="Times New Roman" w:hAnsi="Times New Roman" w:cs="Times New Roman"/>
          <w:sz w:val="24"/>
          <w:szCs w:val="24"/>
        </w:rPr>
        <w:t xml:space="preserve">a) tarifele pentru titlurile comune pentru transportul cu metroul </w:t>
      </w:r>
      <w:r w:rsidR="00140399">
        <w:rPr>
          <w:rFonts w:ascii="Times New Roman" w:hAnsi="Times New Roman" w:cs="Times New Roman"/>
          <w:sz w:val="24"/>
          <w:szCs w:val="24"/>
        </w:rPr>
        <w:t>ș</w:t>
      </w:r>
      <w:r w:rsidRPr="006E1A57">
        <w:rPr>
          <w:rFonts w:ascii="Times New Roman" w:hAnsi="Times New Roman" w:cs="Times New Roman"/>
          <w:sz w:val="24"/>
          <w:szCs w:val="24"/>
        </w:rPr>
        <w:t>i STB reprezintă suma valorilor cuvenite fiecărui mod de transport;</w:t>
      </w:r>
    </w:p>
    <w:p w14:paraId="1BB424BE" w14:textId="77777777" w:rsidR="006E1A57" w:rsidRPr="006E1A57" w:rsidRDefault="006E1A57" w:rsidP="006E1A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A57">
        <w:rPr>
          <w:rFonts w:ascii="Times New Roman" w:hAnsi="Times New Roman" w:cs="Times New Roman"/>
          <w:sz w:val="24"/>
          <w:szCs w:val="24"/>
        </w:rPr>
        <w:t>b) valorile cuvenite operatorului de transport din sistemul de transport cu metroul se stabilesc conform prevederilor Art. 1</w:t>
      </w:r>
      <w:r w:rsidRPr="006E1A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1A57">
        <w:rPr>
          <w:rFonts w:ascii="Times New Roman" w:hAnsi="Times New Roman" w:cs="Times New Roman"/>
          <w:sz w:val="24"/>
          <w:szCs w:val="24"/>
        </w:rPr>
        <w:t>;</w:t>
      </w:r>
    </w:p>
    <w:p w14:paraId="68F23FAC" w14:textId="77777777" w:rsidR="006E1A57" w:rsidRPr="006E1A57" w:rsidRDefault="006E1A57" w:rsidP="006E1A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A57">
        <w:rPr>
          <w:rFonts w:ascii="Times New Roman" w:hAnsi="Times New Roman" w:cs="Times New Roman"/>
          <w:sz w:val="24"/>
          <w:szCs w:val="24"/>
        </w:rPr>
        <w:t>c) valorile cuvenite STB se stabilesc conform prevederilor art. 1</w:t>
      </w:r>
      <w:r w:rsidRPr="006E1A5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E1A57">
        <w:rPr>
          <w:rFonts w:ascii="Times New Roman" w:hAnsi="Times New Roman" w:cs="Times New Roman"/>
          <w:sz w:val="24"/>
          <w:szCs w:val="24"/>
        </w:rPr>
        <w:t>.</w:t>
      </w:r>
    </w:p>
    <w:p w14:paraId="3081A198" w14:textId="14F1A047" w:rsidR="006E1A57" w:rsidRPr="006E1A57" w:rsidRDefault="006E1A57" w:rsidP="006E1A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A57">
        <w:rPr>
          <w:rFonts w:ascii="Times New Roman" w:hAnsi="Times New Roman" w:cs="Times New Roman"/>
          <w:sz w:val="24"/>
          <w:szCs w:val="24"/>
        </w:rPr>
        <w:t xml:space="preserve">(2) Modificarea tarifelor de către Ministerului Transporturilor </w:t>
      </w:r>
      <w:r w:rsidR="00140399">
        <w:rPr>
          <w:rFonts w:ascii="Times New Roman" w:hAnsi="Times New Roman" w:cs="Times New Roman"/>
          <w:sz w:val="24"/>
          <w:szCs w:val="24"/>
        </w:rPr>
        <w:t>ș</w:t>
      </w:r>
      <w:r w:rsidRPr="006E1A57">
        <w:rPr>
          <w:rFonts w:ascii="Times New Roman" w:hAnsi="Times New Roman" w:cs="Times New Roman"/>
          <w:sz w:val="24"/>
          <w:szCs w:val="24"/>
        </w:rPr>
        <w:t xml:space="preserve">i Infrastructurii </w:t>
      </w:r>
      <w:r w:rsidR="00140399">
        <w:rPr>
          <w:rFonts w:ascii="Times New Roman" w:hAnsi="Times New Roman" w:cs="Times New Roman"/>
          <w:sz w:val="24"/>
          <w:szCs w:val="24"/>
        </w:rPr>
        <w:t>ș</w:t>
      </w:r>
      <w:r w:rsidRPr="006E1A57">
        <w:rPr>
          <w:rFonts w:ascii="Times New Roman" w:hAnsi="Times New Roman" w:cs="Times New Roman"/>
          <w:sz w:val="24"/>
          <w:szCs w:val="24"/>
        </w:rPr>
        <w:t>i, după caz, de către Asocia</w:t>
      </w:r>
      <w:r w:rsidR="00140399">
        <w:rPr>
          <w:rFonts w:ascii="Times New Roman" w:hAnsi="Times New Roman" w:cs="Times New Roman"/>
          <w:sz w:val="24"/>
          <w:szCs w:val="24"/>
        </w:rPr>
        <w:t>ț</w:t>
      </w:r>
      <w:r w:rsidRPr="006E1A57">
        <w:rPr>
          <w:rFonts w:ascii="Times New Roman" w:hAnsi="Times New Roman" w:cs="Times New Roman"/>
          <w:sz w:val="24"/>
          <w:szCs w:val="24"/>
        </w:rPr>
        <w:t>ia pentru Dezvoltare Intercomunitară Transport Public Bucure</w:t>
      </w:r>
      <w:r w:rsidR="00140399">
        <w:rPr>
          <w:rFonts w:ascii="Times New Roman" w:hAnsi="Times New Roman" w:cs="Times New Roman"/>
          <w:sz w:val="24"/>
          <w:szCs w:val="24"/>
        </w:rPr>
        <w:t>ș</w:t>
      </w:r>
      <w:r w:rsidRPr="006E1A57">
        <w:rPr>
          <w:rFonts w:ascii="Times New Roman" w:hAnsi="Times New Roman" w:cs="Times New Roman"/>
          <w:sz w:val="24"/>
          <w:szCs w:val="24"/>
        </w:rPr>
        <w:t>ti – Ilfov, denumite în continuare autorită</w:t>
      </w:r>
      <w:r w:rsidR="00140399">
        <w:rPr>
          <w:rFonts w:ascii="Times New Roman" w:hAnsi="Times New Roman" w:cs="Times New Roman"/>
          <w:sz w:val="24"/>
          <w:szCs w:val="24"/>
        </w:rPr>
        <w:t>ț</w:t>
      </w:r>
      <w:r w:rsidRPr="006E1A57">
        <w:rPr>
          <w:rFonts w:ascii="Times New Roman" w:hAnsi="Times New Roman" w:cs="Times New Roman"/>
          <w:sz w:val="24"/>
          <w:szCs w:val="24"/>
        </w:rPr>
        <w:t>i competente:</w:t>
      </w:r>
    </w:p>
    <w:p w14:paraId="78212493" w14:textId="20354E04" w:rsidR="006E1A57" w:rsidRPr="006E1A57" w:rsidRDefault="006E1A57" w:rsidP="006E1A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A57">
        <w:rPr>
          <w:rFonts w:ascii="Times New Roman" w:hAnsi="Times New Roman" w:cs="Times New Roman"/>
          <w:sz w:val="24"/>
          <w:szCs w:val="24"/>
        </w:rPr>
        <w:t>a) se notifică celeilalte autorită</w:t>
      </w:r>
      <w:r w:rsidR="00140399">
        <w:rPr>
          <w:rFonts w:ascii="Times New Roman" w:hAnsi="Times New Roman" w:cs="Times New Roman"/>
          <w:sz w:val="24"/>
          <w:szCs w:val="24"/>
        </w:rPr>
        <w:t>ț</w:t>
      </w:r>
      <w:r w:rsidRPr="006E1A57">
        <w:rPr>
          <w:rFonts w:ascii="Times New Roman" w:hAnsi="Times New Roman" w:cs="Times New Roman"/>
          <w:sz w:val="24"/>
          <w:szCs w:val="24"/>
        </w:rPr>
        <w:t xml:space="preserve">i competente </w:t>
      </w:r>
      <w:r w:rsidR="00140399">
        <w:rPr>
          <w:rFonts w:ascii="Times New Roman" w:hAnsi="Times New Roman" w:cs="Times New Roman"/>
          <w:sz w:val="24"/>
          <w:szCs w:val="24"/>
        </w:rPr>
        <w:t>ș</w:t>
      </w:r>
      <w:r w:rsidRPr="006E1A57">
        <w:rPr>
          <w:rFonts w:ascii="Times New Roman" w:hAnsi="Times New Roman" w:cs="Times New Roman"/>
          <w:sz w:val="24"/>
          <w:szCs w:val="24"/>
        </w:rPr>
        <w:t>i operatorilor de transport, în termen de maxim</w:t>
      </w:r>
      <w:r>
        <w:rPr>
          <w:rFonts w:ascii="Times New Roman" w:hAnsi="Times New Roman" w:cs="Times New Roman"/>
          <w:sz w:val="24"/>
          <w:szCs w:val="24"/>
        </w:rPr>
        <w:t>um</w:t>
      </w:r>
      <w:r w:rsidRPr="006E1A57">
        <w:rPr>
          <w:rFonts w:ascii="Times New Roman" w:hAnsi="Times New Roman" w:cs="Times New Roman"/>
          <w:sz w:val="24"/>
          <w:szCs w:val="24"/>
        </w:rPr>
        <w:t xml:space="preserve"> 5 zile de la intrarea în vigoare;</w:t>
      </w:r>
    </w:p>
    <w:p w14:paraId="2A850BDF" w14:textId="46023E93" w:rsidR="006E1A57" w:rsidRPr="006E1A57" w:rsidRDefault="006E1A57" w:rsidP="006E1A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A57">
        <w:rPr>
          <w:rFonts w:ascii="Times New Roman" w:hAnsi="Times New Roman" w:cs="Times New Roman"/>
          <w:sz w:val="24"/>
          <w:szCs w:val="24"/>
        </w:rPr>
        <w:t>b) se aplică, după caz, prevederil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1A57">
        <w:rPr>
          <w:rFonts w:ascii="Times New Roman" w:hAnsi="Times New Roman" w:cs="Times New Roman"/>
          <w:sz w:val="24"/>
          <w:szCs w:val="24"/>
        </w:rPr>
        <w:t xml:space="preserve"> art. 1</w:t>
      </w:r>
      <w:r w:rsidRPr="006E1A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1A57">
        <w:rPr>
          <w:rFonts w:ascii="Times New Roman" w:hAnsi="Times New Roman" w:cs="Times New Roman"/>
          <w:sz w:val="24"/>
          <w:szCs w:val="24"/>
        </w:rPr>
        <w:t>-1</w:t>
      </w:r>
      <w:r w:rsidRPr="006E1A5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E1A57">
        <w:rPr>
          <w:rFonts w:ascii="Times New Roman" w:hAnsi="Times New Roman" w:cs="Times New Roman"/>
          <w:sz w:val="24"/>
          <w:szCs w:val="24"/>
        </w:rPr>
        <w:t xml:space="preserve"> în termen de 30 zile de la intrarea în vigoare.</w:t>
      </w:r>
    </w:p>
    <w:p w14:paraId="4D253637" w14:textId="3E671A03" w:rsidR="006E1A57" w:rsidRPr="006E1A57" w:rsidRDefault="006E1A57" w:rsidP="006E1A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A57">
        <w:rPr>
          <w:rFonts w:ascii="Times New Roman" w:hAnsi="Times New Roman" w:cs="Times New Roman"/>
          <w:sz w:val="24"/>
          <w:szCs w:val="24"/>
        </w:rPr>
        <w:t>(3) În termen de 30 zile de la modificarea tarifelor de către una dintre autorită</w:t>
      </w:r>
      <w:r w:rsidR="00140399">
        <w:rPr>
          <w:rFonts w:ascii="Times New Roman" w:hAnsi="Times New Roman" w:cs="Times New Roman"/>
          <w:sz w:val="24"/>
          <w:szCs w:val="24"/>
        </w:rPr>
        <w:t>ț</w:t>
      </w:r>
      <w:r w:rsidRPr="006E1A57">
        <w:rPr>
          <w:rFonts w:ascii="Times New Roman" w:hAnsi="Times New Roman" w:cs="Times New Roman"/>
          <w:sz w:val="24"/>
          <w:szCs w:val="24"/>
        </w:rPr>
        <w:t xml:space="preserve">ile competente, noile tarife aferente titlurilor comune pentru transportul cu metroul </w:t>
      </w:r>
      <w:r w:rsidR="00140399">
        <w:rPr>
          <w:rFonts w:ascii="Times New Roman" w:hAnsi="Times New Roman" w:cs="Times New Roman"/>
          <w:sz w:val="24"/>
          <w:szCs w:val="24"/>
        </w:rPr>
        <w:t>ș</w:t>
      </w:r>
      <w:r w:rsidRPr="006E1A57">
        <w:rPr>
          <w:rFonts w:ascii="Times New Roman" w:hAnsi="Times New Roman" w:cs="Times New Roman"/>
          <w:sz w:val="24"/>
          <w:szCs w:val="24"/>
        </w:rPr>
        <w:t>i STB, intră în vigoare cu respectarea prevederilor alin. (2).</w:t>
      </w:r>
    </w:p>
    <w:p w14:paraId="21E6D1E5" w14:textId="77777777" w:rsidR="00DC05FA" w:rsidRDefault="00DC05FA" w:rsidP="006E1A5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57CEF" w14:textId="6CA8F42A" w:rsidR="006E1A57" w:rsidRPr="006E1A57" w:rsidRDefault="006E1A57" w:rsidP="006E1A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5FA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Pr="00DC05F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DC05FA" w:rsidRPr="00DC05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E1A5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A57">
        <w:rPr>
          <w:rFonts w:ascii="Times New Roman" w:hAnsi="Times New Roman" w:cs="Times New Roman"/>
          <w:sz w:val="24"/>
          <w:szCs w:val="24"/>
        </w:rPr>
        <w:t xml:space="preserve">(1) Ministerul Transporturilor </w:t>
      </w:r>
      <w:r w:rsidR="00140399">
        <w:rPr>
          <w:rFonts w:ascii="Times New Roman" w:hAnsi="Times New Roman" w:cs="Times New Roman"/>
          <w:sz w:val="24"/>
          <w:szCs w:val="24"/>
        </w:rPr>
        <w:t>ș</w:t>
      </w:r>
      <w:r w:rsidRPr="006E1A57">
        <w:rPr>
          <w:rFonts w:ascii="Times New Roman" w:hAnsi="Times New Roman" w:cs="Times New Roman"/>
          <w:sz w:val="24"/>
          <w:szCs w:val="24"/>
        </w:rPr>
        <w:t>i Infrastructurii notifică anual sau ori de câte ori este nevoie Asocia</w:t>
      </w:r>
      <w:r w:rsidR="00140399">
        <w:rPr>
          <w:rFonts w:ascii="Times New Roman" w:hAnsi="Times New Roman" w:cs="Times New Roman"/>
          <w:sz w:val="24"/>
          <w:szCs w:val="24"/>
        </w:rPr>
        <w:t>ț</w:t>
      </w:r>
      <w:r w:rsidRPr="006E1A57">
        <w:rPr>
          <w:rFonts w:ascii="Times New Roman" w:hAnsi="Times New Roman" w:cs="Times New Roman"/>
          <w:sz w:val="24"/>
          <w:szCs w:val="24"/>
        </w:rPr>
        <w:t>ia pentru Dezvoltare Intercomunitară Transport Public Bucure</w:t>
      </w:r>
      <w:r w:rsidR="00140399">
        <w:rPr>
          <w:rFonts w:ascii="Times New Roman" w:hAnsi="Times New Roman" w:cs="Times New Roman"/>
          <w:sz w:val="24"/>
          <w:szCs w:val="24"/>
        </w:rPr>
        <w:t>ș</w:t>
      </w:r>
      <w:r w:rsidRPr="006E1A57">
        <w:rPr>
          <w:rFonts w:ascii="Times New Roman" w:hAnsi="Times New Roman" w:cs="Times New Roman"/>
          <w:sz w:val="24"/>
          <w:szCs w:val="24"/>
        </w:rPr>
        <w:t>ti – Ilfov cu privire la valorile cuvenite operatorului de transport cu metroul.</w:t>
      </w:r>
    </w:p>
    <w:p w14:paraId="4156D9F4" w14:textId="04CCCEEC" w:rsidR="006E1A57" w:rsidRPr="006E1A57" w:rsidRDefault="006E1A57" w:rsidP="006E1A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A57">
        <w:rPr>
          <w:rFonts w:ascii="Times New Roman" w:hAnsi="Times New Roman" w:cs="Times New Roman"/>
          <w:sz w:val="24"/>
          <w:szCs w:val="24"/>
        </w:rPr>
        <w:t xml:space="preserve">(2) Valorile cuvenite operatorului de transport cu metroul se stabilesc prin raportare la tarifele prevăzute în Anexa la prezentul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E1A57">
        <w:rPr>
          <w:rFonts w:ascii="Times New Roman" w:hAnsi="Times New Roman" w:cs="Times New Roman"/>
          <w:sz w:val="24"/>
          <w:szCs w:val="24"/>
        </w:rPr>
        <w:t xml:space="preserve">rdin, Tabelul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DC05F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Tarife pentru</w:t>
      </w:r>
      <w:r w:rsidRPr="006E1A57">
        <w:rPr>
          <w:rFonts w:ascii="Times New Roman" w:hAnsi="Times New Roman" w:cs="Times New Roman"/>
          <w:sz w:val="24"/>
          <w:szCs w:val="24"/>
        </w:rPr>
        <w:t xml:space="preserve"> călătoria cu metroul, la care se aplică o reducere suplimentară de 10% (zece procente).</w:t>
      </w:r>
    </w:p>
    <w:p w14:paraId="3BF44C85" w14:textId="27B00BC0" w:rsidR="006E1A57" w:rsidRDefault="006E1A57" w:rsidP="006E1A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A57">
        <w:rPr>
          <w:rFonts w:ascii="Times New Roman" w:hAnsi="Times New Roman" w:cs="Times New Roman"/>
          <w:sz w:val="24"/>
          <w:szCs w:val="24"/>
        </w:rPr>
        <w:t>(3) Valoarea rezultată conform mecanismului prevăzut la alin. (2)  se rotunje</w:t>
      </w:r>
      <w:r w:rsidR="00140399">
        <w:rPr>
          <w:rFonts w:ascii="Times New Roman" w:hAnsi="Times New Roman" w:cs="Times New Roman"/>
          <w:sz w:val="24"/>
          <w:szCs w:val="24"/>
        </w:rPr>
        <w:t>ș</w:t>
      </w:r>
      <w:r w:rsidRPr="006E1A57">
        <w:rPr>
          <w:rFonts w:ascii="Times New Roman" w:hAnsi="Times New Roman" w:cs="Times New Roman"/>
          <w:sz w:val="24"/>
          <w:szCs w:val="24"/>
        </w:rPr>
        <w:t>te la cea mai apropiată valoare întreagă de leu sau la jumătate de leu.</w:t>
      </w:r>
    </w:p>
    <w:p w14:paraId="6F6ED57B" w14:textId="77777777" w:rsidR="00DC05FA" w:rsidRPr="006E1A57" w:rsidRDefault="00DC05FA" w:rsidP="006E1A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192C6C" w14:textId="6387BC38" w:rsidR="006E1A57" w:rsidRPr="006E1A57" w:rsidRDefault="006E1A57" w:rsidP="006E1A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5FA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Pr="00DC05F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DC05FA" w:rsidRPr="00DC05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E1A57">
        <w:rPr>
          <w:rFonts w:ascii="Times New Roman" w:hAnsi="Times New Roman" w:cs="Times New Roman"/>
          <w:sz w:val="24"/>
          <w:szCs w:val="24"/>
        </w:rPr>
        <w:t xml:space="preserve"> –</w:t>
      </w:r>
      <w:r w:rsidR="00DC05FA">
        <w:rPr>
          <w:rFonts w:ascii="Times New Roman" w:hAnsi="Times New Roman" w:cs="Times New Roman"/>
          <w:sz w:val="24"/>
          <w:szCs w:val="24"/>
        </w:rPr>
        <w:t xml:space="preserve"> </w:t>
      </w:r>
      <w:r w:rsidRPr="006E1A57">
        <w:rPr>
          <w:rFonts w:ascii="Times New Roman" w:hAnsi="Times New Roman" w:cs="Times New Roman"/>
          <w:sz w:val="24"/>
          <w:szCs w:val="24"/>
        </w:rPr>
        <w:t>(1) Asocia</w:t>
      </w:r>
      <w:r w:rsidR="00140399">
        <w:rPr>
          <w:rFonts w:ascii="Times New Roman" w:hAnsi="Times New Roman" w:cs="Times New Roman"/>
          <w:sz w:val="24"/>
          <w:szCs w:val="24"/>
        </w:rPr>
        <w:t>ț</w:t>
      </w:r>
      <w:r w:rsidRPr="006E1A57">
        <w:rPr>
          <w:rFonts w:ascii="Times New Roman" w:hAnsi="Times New Roman" w:cs="Times New Roman"/>
          <w:sz w:val="24"/>
          <w:szCs w:val="24"/>
        </w:rPr>
        <w:t>ia pentru Dezvoltare Intercomunitară pentru Transport Public Bucure</w:t>
      </w:r>
      <w:r w:rsidR="00140399">
        <w:rPr>
          <w:rFonts w:ascii="Times New Roman" w:hAnsi="Times New Roman" w:cs="Times New Roman"/>
          <w:sz w:val="24"/>
          <w:szCs w:val="24"/>
        </w:rPr>
        <w:t>ș</w:t>
      </w:r>
      <w:r w:rsidRPr="006E1A57">
        <w:rPr>
          <w:rFonts w:ascii="Times New Roman" w:hAnsi="Times New Roman" w:cs="Times New Roman"/>
          <w:sz w:val="24"/>
          <w:szCs w:val="24"/>
        </w:rPr>
        <w:t xml:space="preserve">ti Ilfov notifică anual sau ori de câte ori este nevoie Ministerul Transporturilor </w:t>
      </w:r>
      <w:r w:rsidR="00140399">
        <w:rPr>
          <w:rFonts w:ascii="Times New Roman" w:hAnsi="Times New Roman" w:cs="Times New Roman"/>
          <w:sz w:val="24"/>
          <w:szCs w:val="24"/>
        </w:rPr>
        <w:t>ș</w:t>
      </w:r>
      <w:r w:rsidRPr="006E1A57">
        <w:rPr>
          <w:rFonts w:ascii="Times New Roman" w:hAnsi="Times New Roman" w:cs="Times New Roman"/>
          <w:sz w:val="24"/>
          <w:szCs w:val="24"/>
        </w:rPr>
        <w:t>i Infrastructurii cu privire la valorile cuvenite STB:</w:t>
      </w:r>
    </w:p>
    <w:p w14:paraId="27CA1449" w14:textId="77777777" w:rsidR="006E1A57" w:rsidRPr="006E1A57" w:rsidRDefault="006E1A57" w:rsidP="006E1A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A57">
        <w:rPr>
          <w:rFonts w:ascii="Times New Roman" w:hAnsi="Times New Roman" w:cs="Times New Roman"/>
          <w:sz w:val="24"/>
          <w:szCs w:val="24"/>
        </w:rPr>
        <w:t>(2) Valorile cuvenite STB se stabilesc prin raportare la tarifele prevăzute în Politica Tarifară TPBI, la care se aplică o reducere suplimentară de 10% (zece procente).</w:t>
      </w:r>
    </w:p>
    <w:p w14:paraId="695630DD" w14:textId="4FF8846A" w:rsidR="006E1A57" w:rsidRPr="009975D1" w:rsidRDefault="006E1A57" w:rsidP="006E1A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A57">
        <w:rPr>
          <w:rFonts w:ascii="Times New Roman" w:hAnsi="Times New Roman" w:cs="Times New Roman"/>
          <w:sz w:val="24"/>
          <w:szCs w:val="24"/>
        </w:rPr>
        <w:t>(3) Valoarea rezultată conform mecanismului prevăzut la alin. (2)  se rotunje</w:t>
      </w:r>
      <w:r w:rsidR="00140399">
        <w:rPr>
          <w:rFonts w:ascii="Times New Roman" w:hAnsi="Times New Roman" w:cs="Times New Roman"/>
          <w:sz w:val="24"/>
          <w:szCs w:val="24"/>
        </w:rPr>
        <w:t>ș</w:t>
      </w:r>
      <w:r w:rsidRPr="006E1A57">
        <w:rPr>
          <w:rFonts w:ascii="Times New Roman" w:hAnsi="Times New Roman" w:cs="Times New Roman"/>
          <w:sz w:val="24"/>
          <w:szCs w:val="24"/>
        </w:rPr>
        <w:t>te la cea mai apropiată valoare întreagă de leu sau la jumătate de leu.</w:t>
      </w:r>
      <w:r w:rsidR="00DC05FA">
        <w:rPr>
          <w:rFonts w:ascii="Times New Roman" w:hAnsi="Times New Roman" w:cs="Times New Roman"/>
          <w:sz w:val="24"/>
          <w:szCs w:val="24"/>
        </w:rPr>
        <w:t>”</w:t>
      </w:r>
    </w:p>
    <w:p w14:paraId="3B9A2D7B" w14:textId="77777777" w:rsidR="009975D1" w:rsidRPr="009975D1" w:rsidRDefault="009975D1" w:rsidP="004C618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2351A" w14:textId="7A6A5C74" w:rsidR="00DC05FA" w:rsidRDefault="00DC05FA" w:rsidP="004C61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Anexa se modifică </w:t>
      </w:r>
      <w:r w:rsidR="00140399">
        <w:rPr>
          <w:rFonts w:ascii="Times New Roman" w:hAnsi="Times New Roman" w:cs="Times New Roman"/>
          <w:sz w:val="24"/>
          <w:szCs w:val="24"/>
        </w:rPr>
        <w:t>ș</w:t>
      </w:r>
      <w:r>
        <w:rPr>
          <w:rFonts w:ascii="Times New Roman" w:hAnsi="Times New Roman" w:cs="Times New Roman"/>
          <w:sz w:val="24"/>
          <w:szCs w:val="24"/>
        </w:rPr>
        <w:t>i se completează după cum urmează:</w:t>
      </w:r>
    </w:p>
    <w:p w14:paraId="3AA8EDEC" w14:textId="3FBBF0AE" w:rsidR="009975D1" w:rsidRDefault="00DC05FA" w:rsidP="004C61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primul tabel se redenume</w:t>
      </w:r>
      <w:r w:rsidR="00140399">
        <w:rPr>
          <w:rFonts w:ascii="Times New Roman" w:hAnsi="Times New Roman" w:cs="Times New Roman"/>
          <w:sz w:val="24"/>
          <w:szCs w:val="24"/>
        </w:rPr>
        <w:t>ș</w:t>
      </w:r>
      <w:r>
        <w:rPr>
          <w:rFonts w:ascii="Times New Roman" w:hAnsi="Times New Roman" w:cs="Times New Roman"/>
          <w:sz w:val="24"/>
          <w:szCs w:val="24"/>
        </w:rPr>
        <w:t>te „Tabelul nr. 1 – Tarife pentru călătoria cu metroul”.</w:t>
      </w:r>
    </w:p>
    <w:p w14:paraId="1BF2ED54" w14:textId="16ED1241" w:rsidR="00DC05FA" w:rsidRDefault="00DC05FA" w:rsidP="004C61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tabelul „OFERTA TARIFARĂ METROPOLITANĂ INTEGRATĂ” se modifică </w:t>
      </w:r>
      <w:r w:rsidR="00140399">
        <w:rPr>
          <w:rFonts w:ascii="Times New Roman" w:hAnsi="Times New Roman" w:cs="Times New Roman"/>
          <w:sz w:val="24"/>
          <w:szCs w:val="24"/>
        </w:rPr>
        <w:t>ș</w:t>
      </w:r>
      <w:r>
        <w:rPr>
          <w:rFonts w:ascii="Times New Roman" w:hAnsi="Times New Roman" w:cs="Times New Roman"/>
          <w:sz w:val="24"/>
          <w:szCs w:val="24"/>
        </w:rPr>
        <w:t>i va avea următorul cuprins:</w:t>
      </w:r>
    </w:p>
    <w:p w14:paraId="4A156242" w14:textId="109874A9" w:rsidR="00DC05FA" w:rsidRPr="00140399" w:rsidRDefault="00DC05FA" w:rsidP="00DC05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140399">
        <w:rPr>
          <w:rFonts w:ascii="Times New Roman" w:hAnsi="Times New Roman" w:cs="Times New Roman"/>
          <w:sz w:val="24"/>
          <w:szCs w:val="24"/>
        </w:rPr>
        <w:t>Tabelul nr. 2 - Oferta tarifară metropolitană integrată</w:t>
      </w:r>
    </w:p>
    <w:tbl>
      <w:tblPr>
        <w:tblStyle w:val="TableGrid"/>
        <w:tblW w:w="0" w:type="auto"/>
        <w:tblInd w:w="304" w:type="dxa"/>
        <w:tblLook w:val="04A0" w:firstRow="1" w:lastRow="0" w:firstColumn="1" w:lastColumn="0" w:noHBand="0" w:noVBand="1"/>
      </w:tblPr>
      <w:tblGrid>
        <w:gridCol w:w="5807"/>
        <w:gridCol w:w="3543"/>
      </w:tblGrid>
      <w:tr w:rsidR="00DC05FA" w:rsidRPr="00532FC6" w14:paraId="45AD23F9" w14:textId="77777777" w:rsidTr="00140399">
        <w:tc>
          <w:tcPr>
            <w:tcW w:w="5807" w:type="dxa"/>
            <w:vAlign w:val="center"/>
          </w:tcPr>
          <w:p w14:paraId="31674F6D" w14:textId="77777777" w:rsidR="00DC05FA" w:rsidRPr="00DC05FA" w:rsidRDefault="00DC05FA" w:rsidP="00DC05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4253313"/>
            <w:r w:rsidRPr="00DC05FA">
              <w:rPr>
                <w:rFonts w:ascii="Times New Roman" w:hAnsi="Times New Roman" w:cs="Times New Roman"/>
                <w:sz w:val="24"/>
                <w:szCs w:val="24"/>
              </w:rPr>
              <w:t>Tip titlu de călătorie metropolitană integrată</w:t>
            </w:r>
          </w:p>
        </w:tc>
        <w:tc>
          <w:tcPr>
            <w:tcW w:w="3543" w:type="dxa"/>
            <w:vAlign w:val="center"/>
          </w:tcPr>
          <w:p w14:paraId="46EE7938" w14:textId="22DAF494" w:rsidR="00DC05FA" w:rsidRPr="00DC05FA" w:rsidRDefault="00DC05FA" w:rsidP="00DC05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A">
              <w:rPr>
                <w:rFonts w:ascii="Times New Roman" w:hAnsi="Times New Roman" w:cs="Times New Roman"/>
                <w:sz w:val="24"/>
                <w:szCs w:val="24"/>
              </w:rPr>
              <w:t>Tarif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C05FA">
              <w:rPr>
                <w:rFonts w:ascii="Times New Roman" w:hAnsi="Times New Roman" w:cs="Times New Roman"/>
                <w:sz w:val="24"/>
                <w:szCs w:val="24"/>
              </w:rPr>
              <w:t>(lei cu TVA)</w:t>
            </w:r>
          </w:p>
        </w:tc>
      </w:tr>
      <w:tr w:rsidR="00DC05FA" w:rsidRPr="00532FC6" w14:paraId="48C55A5B" w14:textId="77777777" w:rsidTr="00140399">
        <w:tc>
          <w:tcPr>
            <w:tcW w:w="5807" w:type="dxa"/>
            <w:vAlign w:val="center"/>
          </w:tcPr>
          <w:p w14:paraId="1E49DE00" w14:textId="3EE2AB11" w:rsidR="00DC05FA" w:rsidRPr="00DC05FA" w:rsidRDefault="00DC05FA" w:rsidP="00DC05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A">
              <w:rPr>
                <w:rFonts w:ascii="Times New Roman" w:hAnsi="Times New Roman" w:cs="Times New Roman"/>
                <w:sz w:val="24"/>
                <w:szCs w:val="24"/>
              </w:rPr>
              <w:t xml:space="preserve">1 călătorie metropolitană </w:t>
            </w:r>
            <w:r w:rsidR="00140399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DC05FA">
              <w:rPr>
                <w:rFonts w:ascii="Times New Roman" w:hAnsi="Times New Roman" w:cs="Times New Roman"/>
                <w:sz w:val="24"/>
                <w:szCs w:val="24"/>
              </w:rPr>
              <w:t>i metrou/120 minute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77FA" w14:textId="77777777" w:rsidR="00DC05FA" w:rsidRPr="00DC05FA" w:rsidRDefault="00DC05FA" w:rsidP="0014039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A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DC05FA" w:rsidRPr="00532FC6" w14:paraId="2549D87C" w14:textId="77777777" w:rsidTr="00140399">
        <w:tc>
          <w:tcPr>
            <w:tcW w:w="5807" w:type="dxa"/>
            <w:vAlign w:val="center"/>
          </w:tcPr>
          <w:p w14:paraId="56283929" w14:textId="04D2E9B5" w:rsidR="00DC05FA" w:rsidRPr="00DC05FA" w:rsidRDefault="00DC05FA" w:rsidP="00DC05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A">
              <w:rPr>
                <w:rFonts w:ascii="Times New Roman" w:hAnsi="Times New Roman" w:cs="Times New Roman"/>
                <w:sz w:val="24"/>
                <w:szCs w:val="24"/>
              </w:rPr>
              <w:t xml:space="preserve">2 călătorii metropolitane </w:t>
            </w:r>
            <w:r w:rsidR="00140399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DC05FA">
              <w:rPr>
                <w:rFonts w:ascii="Times New Roman" w:hAnsi="Times New Roman" w:cs="Times New Roman"/>
                <w:sz w:val="24"/>
                <w:szCs w:val="24"/>
              </w:rPr>
              <w:t>i metrou/120 minute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CD82" w14:textId="77777777" w:rsidR="00DC05FA" w:rsidRPr="00DC05FA" w:rsidRDefault="00DC05FA" w:rsidP="0014039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A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DC05FA" w:rsidRPr="00532FC6" w14:paraId="280E161E" w14:textId="77777777" w:rsidTr="00140399">
        <w:tc>
          <w:tcPr>
            <w:tcW w:w="5807" w:type="dxa"/>
            <w:vAlign w:val="center"/>
          </w:tcPr>
          <w:p w14:paraId="1D02C1E0" w14:textId="3A070F63" w:rsidR="00DC05FA" w:rsidRPr="00DC05FA" w:rsidRDefault="00DC05FA" w:rsidP="00DC05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A">
              <w:rPr>
                <w:rFonts w:ascii="Times New Roman" w:hAnsi="Times New Roman" w:cs="Times New Roman"/>
                <w:sz w:val="24"/>
                <w:szCs w:val="24"/>
              </w:rPr>
              <w:t xml:space="preserve">10 călătorii metropolitane </w:t>
            </w:r>
            <w:r w:rsidR="00140399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DC05FA">
              <w:rPr>
                <w:rFonts w:ascii="Times New Roman" w:hAnsi="Times New Roman" w:cs="Times New Roman"/>
                <w:sz w:val="24"/>
                <w:szCs w:val="24"/>
              </w:rPr>
              <w:t>i metrou/120 minute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6407" w14:textId="06B57F3D" w:rsidR="00DC05FA" w:rsidRPr="00DC05FA" w:rsidRDefault="00DC05FA" w:rsidP="0014039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450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  <w:r w:rsidRPr="00DC0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5FA" w:rsidRPr="00532FC6" w14:paraId="368F4D60" w14:textId="77777777" w:rsidTr="00140399">
        <w:tc>
          <w:tcPr>
            <w:tcW w:w="5807" w:type="dxa"/>
            <w:vAlign w:val="center"/>
          </w:tcPr>
          <w:p w14:paraId="3F7351DE" w14:textId="08619889" w:rsidR="00DC05FA" w:rsidRPr="00DC05FA" w:rsidRDefault="00DC05FA" w:rsidP="00DC05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A">
              <w:rPr>
                <w:rFonts w:ascii="Times New Roman" w:hAnsi="Times New Roman" w:cs="Times New Roman"/>
                <w:sz w:val="24"/>
                <w:szCs w:val="24"/>
              </w:rPr>
              <w:t xml:space="preserve">Abonament metropolitan </w:t>
            </w:r>
            <w:r w:rsidR="00140399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DC05FA">
              <w:rPr>
                <w:rFonts w:ascii="Times New Roman" w:hAnsi="Times New Roman" w:cs="Times New Roman"/>
                <w:sz w:val="24"/>
                <w:szCs w:val="24"/>
              </w:rPr>
              <w:t>i metrou/24 ore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8ABD" w14:textId="77777777" w:rsidR="00DC05FA" w:rsidRPr="00DC05FA" w:rsidRDefault="00DC05FA" w:rsidP="0014039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A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DC05FA" w:rsidRPr="00532FC6" w14:paraId="5E55110F" w14:textId="77777777" w:rsidTr="00140399">
        <w:tc>
          <w:tcPr>
            <w:tcW w:w="5807" w:type="dxa"/>
            <w:vAlign w:val="center"/>
          </w:tcPr>
          <w:p w14:paraId="3298381D" w14:textId="6F1665CE" w:rsidR="00DC05FA" w:rsidRPr="00DC05FA" w:rsidRDefault="00DC05FA" w:rsidP="00DC05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A">
              <w:rPr>
                <w:rFonts w:ascii="Times New Roman" w:hAnsi="Times New Roman" w:cs="Times New Roman"/>
                <w:sz w:val="24"/>
                <w:szCs w:val="24"/>
              </w:rPr>
              <w:t xml:space="preserve">Abonament metropolitan </w:t>
            </w:r>
            <w:r w:rsidR="00140399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DC05FA">
              <w:rPr>
                <w:rFonts w:ascii="Times New Roman" w:hAnsi="Times New Roman" w:cs="Times New Roman"/>
                <w:sz w:val="24"/>
                <w:szCs w:val="24"/>
              </w:rPr>
              <w:t>i metrou/72 ore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7B04" w14:textId="77777777" w:rsidR="00DC05FA" w:rsidRPr="00DC05FA" w:rsidRDefault="00DC05FA" w:rsidP="0014039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A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</w:tr>
      <w:tr w:rsidR="00DC05FA" w:rsidRPr="00532FC6" w14:paraId="01E2706F" w14:textId="77777777" w:rsidTr="00140399">
        <w:tc>
          <w:tcPr>
            <w:tcW w:w="5807" w:type="dxa"/>
            <w:vAlign w:val="center"/>
          </w:tcPr>
          <w:p w14:paraId="007C46AB" w14:textId="1883C9DD" w:rsidR="00DC05FA" w:rsidRPr="00DC05FA" w:rsidRDefault="00DC05FA" w:rsidP="00DC05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A">
              <w:rPr>
                <w:rFonts w:ascii="Times New Roman" w:hAnsi="Times New Roman" w:cs="Times New Roman"/>
                <w:sz w:val="24"/>
                <w:szCs w:val="24"/>
              </w:rPr>
              <w:t xml:space="preserve">Abonament metropolitan </w:t>
            </w:r>
            <w:r w:rsidR="00140399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DC05FA">
              <w:rPr>
                <w:rFonts w:ascii="Times New Roman" w:hAnsi="Times New Roman" w:cs="Times New Roman"/>
                <w:sz w:val="24"/>
                <w:szCs w:val="24"/>
              </w:rPr>
              <w:t>i metrou/7 zile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B5E9" w14:textId="2ADEE792" w:rsidR="00DC05FA" w:rsidRPr="00DC05FA" w:rsidRDefault="00DC05FA" w:rsidP="0014039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4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05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4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0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05FA" w:rsidRPr="00532FC6" w14:paraId="76680E51" w14:textId="77777777" w:rsidTr="00140399">
        <w:tc>
          <w:tcPr>
            <w:tcW w:w="5807" w:type="dxa"/>
            <w:vAlign w:val="center"/>
          </w:tcPr>
          <w:p w14:paraId="67000785" w14:textId="4B9E5266" w:rsidR="00DC05FA" w:rsidRPr="00DC05FA" w:rsidRDefault="00DC05FA" w:rsidP="00DC05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A">
              <w:rPr>
                <w:rFonts w:ascii="Times New Roman" w:hAnsi="Times New Roman" w:cs="Times New Roman"/>
                <w:sz w:val="24"/>
                <w:szCs w:val="24"/>
              </w:rPr>
              <w:t xml:space="preserve">Abonament metropolitan </w:t>
            </w:r>
            <w:r w:rsidR="00140399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DC05FA">
              <w:rPr>
                <w:rFonts w:ascii="Times New Roman" w:hAnsi="Times New Roman" w:cs="Times New Roman"/>
                <w:sz w:val="24"/>
                <w:szCs w:val="24"/>
              </w:rPr>
              <w:t>i metrou/1 lună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782D" w14:textId="77777777" w:rsidR="00DC05FA" w:rsidRPr="00DC05FA" w:rsidRDefault="00DC05FA" w:rsidP="0014039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A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DC05FA" w:rsidRPr="00532FC6" w14:paraId="30B3D0A1" w14:textId="77777777" w:rsidTr="00140399">
        <w:tc>
          <w:tcPr>
            <w:tcW w:w="5807" w:type="dxa"/>
            <w:vAlign w:val="center"/>
          </w:tcPr>
          <w:p w14:paraId="10FA2D91" w14:textId="0F1B5816" w:rsidR="00DC05FA" w:rsidRPr="00DC05FA" w:rsidRDefault="00DC05FA" w:rsidP="00DC05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A">
              <w:rPr>
                <w:rFonts w:ascii="Times New Roman" w:hAnsi="Times New Roman" w:cs="Times New Roman"/>
                <w:sz w:val="24"/>
                <w:szCs w:val="24"/>
              </w:rPr>
              <w:t xml:space="preserve">Abonament metropolitan </w:t>
            </w:r>
            <w:r w:rsidR="00140399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DC05FA">
              <w:rPr>
                <w:rFonts w:ascii="Times New Roman" w:hAnsi="Times New Roman" w:cs="Times New Roman"/>
                <w:sz w:val="24"/>
                <w:szCs w:val="24"/>
              </w:rPr>
              <w:t>i metrou/6 luni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DC21" w14:textId="77777777" w:rsidR="00DC05FA" w:rsidRPr="00DC05FA" w:rsidRDefault="00DC05FA" w:rsidP="0014039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A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C05FA" w:rsidRPr="00532FC6" w14:paraId="68B525DB" w14:textId="77777777" w:rsidTr="00140399">
        <w:tc>
          <w:tcPr>
            <w:tcW w:w="5807" w:type="dxa"/>
            <w:vAlign w:val="center"/>
          </w:tcPr>
          <w:p w14:paraId="7D5786E1" w14:textId="03D9AC8A" w:rsidR="00DC05FA" w:rsidRPr="00DC05FA" w:rsidRDefault="00DC05FA" w:rsidP="00DC05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A">
              <w:rPr>
                <w:rFonts w:ascii="Times New Roman" w:hAnsi="Times New Roman" w:cs="Times New Roman"/>
                <w:sz w:val="24"/>
                <w:szCs w:val="24"/>
              </w:rPr>
              <w:t xml:space="preserve">Abonament metropolitan </w:t>
            </w:r>
            <w:r w:rsidR="00140399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DC05FA">
              <w:rPr>
                <w:rFonts w:ascii="Times New Roman" w:hAnsi="Times New Roman" w:cs="Times New Roman"/>
                <w:sz w:val="24"/>
                <w:szCs w:val="24"/>
              </w:rPr>
              <w:t>i metrou/12 luni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5023" w14:textId="77777777" w:rsidR="00DC05FA" w:rsidRPr="00DC05FA" w:rsidRDefault="00DC05FA" w:rsidP="0014039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A">
              <w:rPr>
                <w:rFonts w:ascii="Times New Roman" w:hAnsi="Times New Roman" w:cs="Times New Roman"/>
                <w:sz w:val="24"/>
                <w:szCs w:val="24"/>
              </w:rPr>
              <w:t>1.410,00</w:t>
            </w:r>
          </w:p>
        </w:tc>
      </w:tr>
    </w:tbl>
    <w:bookmarkEnd w:id="0"/>
    <w:p w14:paraId="087A25EB" w14:textId="661D1292" w:rsidR="00DC05FA" w:rsidRPr="00532FC6" w:rsidRDefault="00140399" w:rsidP="00140399">
      <w:pPr>
        <w:spacing w:before="240"/>
        <w:jc w:val="both"/>
        <w:rPr>
          <w:rFonts w:ascii="Times New Roman" w:hAnsi="Times New Roman" w:cs="Times New Roman"/>
        </w:rPr>
      </w:pPr>
      <w:r w:rsidRPr="00140399">
        <w:rPr>
          <w:rFonts w:ascii="Times New Roman" w:hAnsi="Times New Roman" w:cs="Times New Roman"/>
          <w:sz w:val="24"/>
          <w:szCs w:val="24"/>
        </w:rPr>
        <w:t xml:space="preserve">Titlurile de călătorie cu valabilitate de 120 minute, 24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140399">
        <w:rPr>
          <w:rFonts w:ascii="Times New Roman" w:hAnsi="Times New Roman" w:cs="Times New Roman"/>
          <w:sz w:val="24"/>
          <w:szCs w:val="24"/>
        </w:rPr>
        <w:t xml:space="preserve">i 72 ore acceptă ultima validare cu un minut înainte de expirarea perioadei stabilite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140399">
        <w:rPr>
          <w:rFonts w:ascii="Times New Roman" w:hAnsi="Times New Roman" w:cs="Times New Roman"/>
          <w:sz w:val="24"/>
          <w:szCs w:val="24"/>
        </w:rPr>
        <w:t>i permit călătoria până în ultimul minut al valabilită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140399">
        <w:rPr>
          <w:rFonts w:ascii="Times New Roman" w:hAnsi="Times New Roman" w:cs="Times New Roman"/>
          <w:sz w:val="24"/>
          <w:szCs w:val="24"/>
        </w:rPr>
        <w:t xml:space="preserve">ii pe liniile STB - S.A.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140399">
        <w:rPr>
          <w:rFonts w:ascii="Times New Roman" w:hAnsi="Times New Roman" w:cs="Times New Roman"/>
          <w:sz w:val="24"/>
          <w:szCs w:val="24"/>
        </w:rPr>
        <w:t>i până la ie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140399">
        <w:rPr>
          <w:rFonts w:ascii="Times New Roman" w:hAnsi="Times New Roman" w:cs="Times New Roman"/>
          <w:sz w:val="24"/>
          <w:szCs w:val="24"/>
        </w:rPr>
        <w:t>irea din sta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140399">
        <w:rPr>
          <w:rFonts w:ascii="Times New Roman" w:hAnsi="Times New Roman" w:cs="Times New Roman"/>
          <w:sz w:val="24"/>
          <w:szCs w:val="24"/>
        </w:rPr>
        <w:t>ie de la METROREX - S.A. Acestea permit un număr nelimitat de validări în limita de timp prevăzută.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6F5C979" w14:textId="2A02A701" w:rsidR="00DC05FA" w:rsidRDefault="00140399" w:rsidP="004C61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după Tabelul nr. 2 se introduce un nou tabel, Tabelul nr. 3, cu următorul cuprins:</w:t>
      </w:r>
    </w:p>
    <w:p w14:paraId="1B1B0427" w14:textId="7025D2E5" w:rsidR="00140399" w:rsidRPr="00140399" w:rsidRDefault="00140399" w:rsidP="00140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399">
        <w:rPr>
          <w:rFonts w:ascii="Times New Roman" w:hAnsi="Times New Roman" w:cs="Times New Roman"/>
          <w:sz w:val="24"/>
          <w:szCs w:val="24"/>
        </w:rPr>
        <w:t>„Tabelul nr. 3 - Decontare între operatori pentru oferta tarifară metropolitană integrată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1136"/>
      </w:tblGrid>
      <w:tr w:rsidR="00140399" w:rsidRPr="00532FC6" w14:paraId="66DF37EC" w14:textId="77777777" w:rsidTr="008C3217">
        <w:tc>
          <w:tcPr>
            <w:tcW w:w="7794" w:type="dxa"/>
            <w:gridSpan w:val="3"/>
          </w:tcPr>
          <w:p w14:paraId="767AFA3F" w14:textId="77777777" w:rsidR="00140399" w:rsidRPr="00140399" w:rsidRDefault="00140399" w:rsidP="0014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Valoare lei (cu TVA)</w:t>
            </w:r>
          </w:p>
        </w:tc>
      </w:tr>
      <w:tr w:rsidR="00140399" w:rsidRPr="00532FC6" w14:paraId="31F39BE7" w14:textId="77777777" w:rsidTr="008C3217">
        <w:tc>
          <w:tcPr>
            <w:tcW w:w="5382" w:type="dxa"/>
          </w:tcPr>
          <w:p w14:paraId="1C714E73" w14:textId="77777777" w:rsidR="00140399" w:rsidRPr="00140399" w:rsidRDefault="00140399" w:rsidP="0014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Tip titlu de călătorie metropolitană integrată</w:t>
            </w:r>
          </w:p>
        </w:tc>
        <w:tc>
          <w:tcPr>
            <w:tcW w:w="1276" w:type="dxa"/>
            <w:vAlign w:val="center"/>
          </w:tcPr>
          <w:p w14:paraId="41DB52F7" w14:textId="77777777" w:rsidR="00140399" w:rsidRPr="00140399" w:rsidRDefault="00140399" w:rsidP="0014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Metrou</w:t>
            </w:r>
          </w:p>
        </w:tc>
        <w:tc>
          <w:tcPr>
            <w:tcW w:w="1136" w:type="dxa"/>
            <w:vAlign w:val="center"/>
          </w:tcPr>
          <w:p w14:paraId="160AA89F" w14:textId="32C1182A" w:rsidR="00140399" w:rsidRPr="00140399" w:rsidRDefault="00140399" w:rsidP="0014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Suprafa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</w:tc>
      </w:tr>
      <w:tr w:rsidR="00140399" w:rsidRPr="00532FC6" w14:paraId="051BF7DD" w14:textId="77777777" w:rsidTr="008C3217">
        <w:tc>
          <w:tcPr>
            <w:tcW w:w="5382" w:type="dxa"/>
            <w:vAlign w:val="center"/>
          </w:tcPr>
          <w:p w14:paraId="69B0B2F9" w14:textId="6E044D6D" w:rsidR="00140399" w:rsidRPr="00140399" w:rsidRDefault="00140399" w:rsidP="0014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 xml:space="preserve">1 călătorie metropolitană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i metrou/120 minute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EF44B" w14:textId="77777777" w:rsidR="00140399" w:rsidRPr="00140399" w:rsidRDefault="00140399" w:rsidP="0014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136" w:type="dxa"/>
          </w:tcPr>
          <w:p w14:paraId="307EA20F" w14:textId="77777777" w:rsidR="00140399" w:rsidRPr="00140399" w:rsidRDefault="00140399" w:rsidP="0014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140399" w:rsidRPr="00532FC6" w14:paraId="1D9C059F" w14:textId="77777777" w:rsidTr="008C3217">
        <w:tc>
          <w:tcPr>
            <w:tcW w:w="5382" w:type="dxa"/>
            <w:vAlign w:val="center"/>
          </w:tcPr>
          <w:p w14:paraId="1D0087AB" w14:textId="4D13099A" w:rsidR="00140399" w:rsidRPr="00140399" w:rsidRDefault="00140399" w:rsidP="0014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 xml:space="preserve">2 călătorii metropolitane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i metrou/120 minute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16F4E" w14:textId="77777777" w:rsidR="00140399" w:rsidRPr="00140399" w:rsidRDefault="00140399" w:rsidP="0014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136" w:type="dxa"/>
          </w:tcPr>
          <w:p w14:paraId="0CF7E86B" w14:textId="77777777" w:rsidR="00140399" w:rsidRPr="00140399" w:rsidRDefault="00140399" w:rsidP="0014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140399" w:rsidRPr="00532FC6" w14:paraId="12C1F7A2" w14:textId="77777777" w:rsidTr="008C3217">
        <w:tc>
          <w:tcPr>
            <w:tcW w:w="5382" w:type="dxa"/>
            <w:vAlign w:val="center"/>
          </w:tcPr>
          <w:p w14:paraId="059079CF" w14:textId="181F169D" w:rsidR="00140399" w:rsidRPr="00140399" w:rsidRDefault="00140399" w:rsidP="0014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 xml:space="preserve">10 călătorii metropolitane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i metrou/120 minute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DB3E6" w14:textId="2BE8F49C" w:rsidR="00140399" w:rsidRPr="00140399" w:rsidRDefault="00140399" w:rsidP="0014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774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14:paraId="470B2CC9" w14:textId="77777777" w:rsidR="00140399" w:rsidRPr="00140399" w:rsidRDefault="00140399" w:rsidP="0014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</w:tr>
      <w:tr w:rsidR="00140399" w:rsidRPr="00532FC6" w14:paraId="18F0DAF6" w14:textId="77777777" w:rsidTr="008C3217">
        <w:tc>
          <w:tcPr>
            <w:tcW w:w="5382" w:type="dxa"/>
            <w:vAlign w:val="center"/>
          </w:tcPr>
          <w:p w14:paraId="3645C8CF" w14:textId="25A889F8" w:rsidR="00140399" w:rsidRPr="00140399" w:rsidRDefault="00140399" w:rsidP="0014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 xml:space="preserve">Abonament metropolitan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i metrou/24 ore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58790" w14:textId="77777777" w:rsidR="00140399" w:rsidRPr="00140399" w:rsidRDefault="00140399" w:rsidP="0014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136" w:type="dxa"/>
          </w:tcPr>
          <w:p w14:paraId="569E7B66" w14:textId="77777777" w:rsidR="00140399" w:rsidRPr="00140399" w:rsidRDefault="00140399" w:rsidP="0014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140399" w:rsidRPr="00532FC6" w14:paraId="2A8E590C" w14:textId="77777777" w:rsidTr="008C3217">
        <w:tc>
          <w:tcPr>
            <w:tcW w:w="5382" w:type="dxa"/>
            <w:vAlign w:val="center"/>
          </w:tcPr>
          <w:p w14:paraId="6B0CE036" w14:textId="1DC7D030" w:rsidR="00140399" w:rsidRPr="00140399" w:rsidRDefault="00140399" w:rsidP="0014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0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Abonament metropolitan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i metrou/72 ore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27771" w14:textId="77777777" w:rsidR="00140399" w:rsidRPr="00140399" w:rsidRDefault="00140399" w:rsidP="0014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  <w:tc>
          <w:tcPr>
            <w:tcW w:w="1136" w:type="dxa"/>
          </w:tcPr>
          <w:p w14:paraId="41AD25C2" w14:textId="77777777" w:rsidR="00140399" w:rsidRPr="00140399" w:rsidRDefault="00140399" w:rsidP="0014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</w:tr>
      <w:tr w:rsidR="00140399" w:rsidRPr="00532FC6" w14:paraId="16EA20CC" w14:textId="77777777" w:rsidTr="008C3217">
        <w:tc>
          <w:tcPr>
            <w:tcW w:w="5382" w:type="dxa"/>
            <w:vAlign w:val="center"/>
          </w:tcPr>
          <w:p w14:paraId="31FAE578" w14:textId="7FD01758" w:rsidR="00140399" w:rsidRPr="00140399" w:rsidRDefault="00140399" w:rsidP="0014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 xml:space="preserve">Abonament metropolitan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i metrou/7 zile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20AB5" w14:textId="2E612669" w:rsidR="00140399" w:rsidRPr="00140399" w:rsidRDefault="00140399" w:rsidP="0014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4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14:paraId="5DA17A9F" w14:textId="77777777" w:rsidR="00140399" w:rsidRPr="00140399" w:rsidRDefault="00140399" w:rsidP="0014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140399" w:rsidRPr="00532FC6" w14:paraId="1C6590EA" w14:textId="77777777" w:rsidTr="008C3217">
        <w:tc>
          <w:tcPr>
            <w:tcW w:w="5382" w:type="dxa"/>
            <w:vAlign w:val="center"/>
          </w:tcPr>
          <w:p w14:paraId="2EF8FACB" w14:textId="7930FE74" w:rsidR="00140399" w:rsidRPr="00140399" w:rsidRDefault="00140399" w:rsidP="0014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 xml:space="preserve">Abonament metropolitan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i metrou/1 lună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9F891" w14:textId="77777777" w:rsidR="00140399" w:rsidRPr="00140399" w:rsidRDefault="00140399" w:rsidP="0014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136" w:type="dxa"/>
          </w:tcPr>
          <w:p w14:paraId="19819CB5" w14:textId="77777777" w:rsidR="00140399" w:rsidRPr="00140399" w:rsidRDefault="00140399" w:rsidP="0014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140399" w:rsidRPr="00532FC6" w14:paraId="4E8B55D2" w14:textId="77777777" w:rsidTr="008C3217">
        <w:tc>
          <w:tcPr>
            <w:tcW w:w="5382" w:type="dxa"/>
            <w:vAlign w:val="center"/>
          </w:tcPr>
          <w:p w14:paraId="7F752D95" w14:textId="4DEEFB3B" w:rsidR="00140399" w:rsidRPr="00140399" w:rsidRDefault="00140399" w:rsidP="0014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 xml:space="preserve">Abonament metropolitan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i metrou/6 luni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29F65" w14:textId="77777777" w:rsidR="00140399" w:rsidRPr="00140399" w:rsidRDefault="00140399" w:rsidP="0014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136" w:type="dxa"/>
          </w:tcPr>
          <w:p w14:paraId="5B89BFAE" w14:textId="77777777" w:rsidR="00140399" w:rsidRPr="00140399" w:rsidRDefault="00140399" w:rsidP="0014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140399" w:rsidRPr="00532FC6" w14:paraId="0BC6ABBA" w14:textId="77777777" w:rsidTr="008C3217">
        <w:tc>
          <w:tcPr>
            <w:tcW w:w="5382" w:type="dxa"/>
            <w:vAlign w:val="center"/>
          </w:tcPr>
          <w:p w14:paraId="52682A70" w14:textId="0FFCC5EC" w:rsidR="00140399" w:rsidRPr="00140399" w:rsidRDefault="00140399" w:rsidP="0014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 xml:space="preserve">Abonament metropolitan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i metrou/12 luni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0D9AB" w14:textId="77777777" w:rsidR="00140399" w:rsidRPr="00140399" w:rsidRDefault="00140399" w:rsidP="0014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810,00</w:t>
            </w:r>
          </w:p>
        </w:tc>
        <w:tc>
          <w:tcPr>
            <w:tcW w:w="1136" w:type="dxa"/>
          </w:tcPr>
          <w:p w14:paraId="4A1B1377" w14:textId="77777777" w:rsidR="00140399" w:rsidRPr="00140399" w:rsidRDefault="00140399" w:rsidP="001403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4039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</w:tbl>
    <w:p w14:paraId="5FB6C84C" w14:textId="2F6FF4AF" w:rsidR="00140399" w:rsidRPr="00532FC6" w:rsidRDefault="00140399" w:rsidP="0014039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”</w:t>
      </w:r>
    </w:p>
    <w:p w14:paraId="38F71930" w14:textId="57BC9775" w:rsidR="00140399" w:rsidRDefault="00140399" w:rsidP="00140399">
      <w:pPr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0399">
        <w:rPr>
          <w:rFonts w:ascii="Times New Roman" w:hAnsi="Times New Roman" w:cs="Times New Roman"/>
          <w:b/>
          <w:bCs/>
          <w:sz w:val="24"/>
          <w:szCs w:val="24"/>
        </w:rPr>
        <w:t>Art. II.</w:t>
      </w:r>
      <w:r w:rsidRPr="00140399">
        <w:rPr>
          <w:rFonts w:ascii="Times New Roman" w:hAnsi="Times New Roman" w:cs="Times New Roman"/>
          <w:sz w:val="24"/>
          <w:szCs w:val="24"/>
        </w:rPr>
        <w:t xml:space="preserve"> - Titlurile de călătorie achizi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140399">
        <w:rPr>
          <w:rFonts w:ascii="Times New Roman" w:hAnsi="Times New Roman" w:cs="Times New Roman"/>
          <w:sz w:val="24"/>
          <w:szCs w:val="24"/>
        </w:rPr>
        <w:t>ionate înainte de intrarea în vigoare a prezentului ordin î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140399">
        <w:rPr>
          <w:rFonts w:ascii="Times New Roman" w:hAnsi="Times New Roman" w:cs="Times New Roman"/>
          <w:sz w:val="24"/>
          <w:szCs w:val="24"/>
        </w:rPr>
        <w:t>i men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140399">
        <w:rPr>
          <w:rFonts w:ascii="Times New Roman" w:hAnsi="Times New Roman" w:cs="Times New Roman"/>
          <w:sz w:val="24"/>
          <w:szCs w:val="24"/>
        </w:rPr>
        <w:t>in valabilitatea în condi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140399">
        <w:rPr>
          <w:rFonts w:ascii="Times New Roman" w:hAnsi="Times New Roman" w:cs="Times New Roman"/>
          <w:sz w:val="24"/>
          <w:szCs w:val="24"/>
        </w:rPr>
        <w:t>iile valabile la momentul achizi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140399">
        <w:rPr>
          <w:rFonts w:ascii="Times New Roman" w:hAnsi="Times New Roman" w:cs="Times New Roman"/>
          <w:sz w:val="24"/>
          <w:szCs w:val="24"/>
        </w:rPr>
        <w:t>iei.</w:t>
      </w:r>
    </w:p>
    <w:p w14:paraId="17575DC8" w14:textId="77777777" w:rsidR="00140399" w:rsidRPr="00140399" w:rsidRDefault="00140399" w:rsidP="00140399">
      <w:pPr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DDB85CD" w14:textId="38D90818" w:rsidR="00140399" w:rsidRPr="00140399" w:rsidRDefault="00F21A54" w:rsidP="001403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0399" w:rsidRPr="00140399">
        <w:rPr>
          <w:rFonts w:ascii="Times New Roman" w:hAnsi="Times New Roman" w:cs="Times New Roman"/>
          <w:b/>
          <w:bCs/>
          <w:sz w:val="24"/>
          <w:szCs w:val="24"/>
        </w:rPr>
        <w:t xml:space="preserve">Art. III. - </w:t>
      </w:r>
      <w:r w:rsidR="00140399" w:rsidRPr="00140399">
        <w:rPr>
          <w:rFonts w:ascii="Times New Roman" w:hAnsi="Times New Roman" w:cs="Times New Roman"/>
          <w:sz w:val="24"/>
          <w:szCs w:val="24"/>
        </w:rPr>
        <w:t xml:space="preserve">Prezentul ordin se publică în Monitorul Oficial al României, Partea I, </w:t>
      </w:r>
      <w:r w:rsidR="00140399">
        <w:rPr>
          <w:rFonts w:ascii="Times New Roman" w:hAnsi="Times New Roman" w:cs="Times New Roman"/>
          <w:sz w:val="24"/>
          <w:szCs w:val="24"/>
        </w:rPr>
        <w:t>ș</w:t>
      </w:r>
      <w:r w:rsidR="00140399" w:rsidRPr="00140399">
        <w:rPr>
          <w:rFonts w:ascii="Times New Roman" w:hAnsi="Times New Roman" w:cs="Times New Roman"/>
          <w:sz w:val="24"/>
          <w:szCs w:val="24"/>
        </w:rPr>
        <w:t>i intră în vigoare în 15 zile de la publicare.</w:t>
      </w:r>
    </w:p>
    <w:p w14:paraId="650014A6" w14:textId="77777777" w:rsidR="00140399" w:rsidRDefault="00140399" w:rsidP="0014039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171E332B" w14:textId="77777777" w:rsidR="00684B72" w:rsidRPr="004C6189" w:rsidRDefault="00684B72" w:rsidP="00496F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D164F0" w14:textId="77777777" w:rsidR="00BD6EEC" w:rsidRPr="004C6189" w:rsidRDefault="00BD6EEC" w:rsidP="004C6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1E15E" w14:textId="5C2572E4" w:rsidR="00D073AD" w:rsidRPr="00291D65" w:rsidRDefault="00D073AD" w:rsidP="00BE6F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D65">
        <w:rPr>
          <w:rFonts w:ascii="Times New Roman" w:hAnsi="Times New Roman" w:cs="Times New Roman"/>
          <w:b/>
          <w:sz w:val="24"/>
          <w:szCs w:val="24"/>
        </w:rPr>
        <w:t xml:space="preserve">MINISTRUL TRANSPORTURILOR </w:t>
      </w:r>
      <w:r w:rsidR="00140399">
        <w:rPr>
          <w:rFonts w:ascii="Times New Roman" w:hAnsi="Times New Roman" w:cs="Times New Roman"/>
          <w:b/>
          <w:sz w:val="24"/>
          <w:szCs w:val="24"/>
        </w:rPr>
        <w:t>Ș</w:t>
      </w:r>
      <w:r w:rsidRPr="00291D65">
        <w:rPr>
          <w:rFonts w:ascii="Times New Roman" w:hAnsi="Times New Roman" w:cs="Times New Roman"/>
          <w:b/>
          <w:sz w:val="24"/>
          <w:szCs w:val="24"/>
        </w:rPr>
        <w:t>I INFRASTRUCTURII</w:t>
      </w:r>
    </w:p>
    <w:p w14:paraId="176759EC" w14:textId="031B5F85" w:rsidR="00291D65" w:rsidRPr="00291D65" w:rsidRDefault="00291D65" w:rsidP="00BE6F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D65">
        <w:rPr>
          <w:rFonts w:ascii="Times New Roman" w:hAnsi="Times New Roman" w:cs="Times New Roman"/>
          <w:b/>
          <w:sz w:val="24"/>
          <w:szCs w:val="24"/>
        </w:rPr>
        <w:t xml:space="preserve">CIPRIAN – CONSTANTIN </w:t>
      </w:r>
      <w:r w:rsidR="00140399">
        <w:rPr>
          <w:rFonts w:ascii="Times New Roman" w:hAnsi="Times New Roman" w:cs="Times New Roman"/>
          <w:b/>
          <w:sz w:val="24"/>
          <w:szCs w:val="24"/>
        </w:rPr>
        <w:t>Ș</w:t>
      </w:r>
      <w:r w:rsidRPr="00291D65">
        <w:rPr>
          <w:rFonts w:ascii="Times New Roman" w:hAnsi="Times New Roman" w:cs="Times New Roman"/>
          <w:b/>
          <w:sz w:val="24"/>
          <w:szCs w:val="24"/>
        </w:rPr>
        <w:t xml:space="preserve">ERBAN </w:t>
      </w:r>
    </w:p>
    <w:p w14:paraId="4E6EAC90" w14:textId="77777777" w:rsidR="00FC38D1" w:rsidRDefault="00FC38D1" w:rsidP="004C6189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C9DAE91" w14:textId="77777777" w:rsidR="00684B72" w:rsidRDefault="00684B72" w:rsidP="004C6189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83EE87C" w14:textId="77777777" w:rsidR="00684B72" w:rsidRDefault="00684B72" w:rsidP="004C6189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069C7F9" w14:textId="77777777" w:rsidR="00684B72" w:rsidRDefault="00684B72" w:rsidP="004C6189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52956A6" w14:textId="77777777" w:rsidR="00684B72" w:rsidRDefault="00684B72" w:rsidP="004C6189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DEE0B2C" w14:textId="77777777" w:rsidR="00684B72" w:rsidRDefault="00684B72" w:rsidP="004C6189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02F9444" w14:textId="77777777" w:rsidR="00684B72" w:rsidRDefault="00684B72" w:rsidP="004C6189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C57C328" w14:textId="77777777" w:rsidR="00684B72" w:rsidRDefault="00684B72" w:rsidP="004C6189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DE68FD3" w14:textId="77777777" w:rsidR="00684B72" w:rsidRDefault="00684B72" w:rsidP="004C6189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12877A1" w14:textId="77777777" w:rsidR="00684B72" w:rsidRDefault="00684B72" w:rsidP="004C6189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8823D7F" w14:textId="77777777" w:rsidR="00684B72" w:rsidRDefault="00684B72" w:rsidP="004C6189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77DFB17" w14:textId="77777777" w:rsidR="00684B72" w:rsidRDefault="00684B72" w:rsidP="004C6189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71685E9" w14:textId="77777777" w:rsidR="00684B72" w:rsidRDefault="00684B72" w:rsidP="004C6189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61C0C57" w14:textId="77777777" w:rsidR="00684B72" w:rsidRDefault="00684B72" w:rsidP="004C6189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D125780" w14:textId="77777777" w:rsidR="00684B72" w:rsidRDefault="00684B72" w:rsidP="004C6189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3B38093" w14:textId="77777777" w:rsidR="00684B72" w:rsidRDefault="00684B72" w:rsidP="004C6189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8584E48" w14:textId="77777777" w:rsidR="00684B72" w:rsidRDefault="00684B72" w:rsidP="004C6189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EC019EB" w14:textId="77777777" w:rsidR="00684B72" w:rsidRDefault="00684B72" w:rsidP="004C6189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AAF0637" w14:textId="77777777" w:rsidR="00684B72" w:rsidRDefault="00684B72" w:rsidP="004C6189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78E4E83" w14:textId="77777777" w:rsidR="00684B72" w:rsidRDefault="00684B72" w:rsidP="004C6189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966CBF5" w14:textId="77777777" w:rsidR="00684B72" w:rsidRDefault="00684B72" w:rsidP="004C6189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7AB6413" w14:textId="77777777" w:rsidR="00684B72" w:rsidRDefault="00684B72" w:rsidP="004C6189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52B0038" w14:textId="77777777" w:rsidR="00684B72" w:rsidRDefault="00684B72" w:rsidP="004C6189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DB463F3" w14:textId="77777777" w:rsidR="00684B72" w:rsidRDefault="00684B72" w:rsidP="004C6189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C6B21A4" w14:textId="77777777" w:rsidR="00684B72" w:rsidRDefault="00684B72" w:rsidP="004C6189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4F66B8B" w14:textId="77777777" w:rsidR="00684B72" w:rsidRDefault="00684B72" w:rsidP="004C6189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931379D" w14:textId="77777777" w:rsidR="0055740D" w:rsidRDefault="0055740D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5DA3F9C8" w14:textId="5E94B002" w:rsidR="00D67264" w:rsidRPr="004C6189" w:rsidRDefault="00D67264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4C6189">
        <w:rPr>
          <w:rFonts w:ascii="Times New Roman" w:eastAsia="SimSun" w:hAnsi="Times New Roman" w:cs="Times New Roman"/>
          <w:b/>
          <w:sz w:val="24"/>
          <w:szCs w:val="24"/>
        </w:rPr>
        <w:t>SECRETAR DE STAT</w:t>
      </w:r>
    </w:p>
    <w:p w14:paraId="76B247DE" w14:textId="3F9EE63E" w:rsidR="00D67264" w:rsidRPr="004C6189" w:rsidRDefault="00D67264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4C6189">
        <w:rPr>
          <w:rFonts w:ascii="Times New Roman" w:eastAsia="SimSun" w:hAnsi="Times New Roman" w:cs="Times New Roman"/>
          <w:b/>
          <w:sz w:val="24"/>
          <w:szCs w:val="24"/>
        </w:rPr>
        <w:t>Ionu</w:t>
      </w:r>
      <w:r w:rsidR="00140399">
        <w:rPr>
          <w:rFonts w:ascii="Times New Roman" w:eastAsia="SimSun" w:hAnsi="Times New Roman" w:cs="Times New Roman"/>
          <w:b/>
          <w:sz w:val="24"/>
          <w:szCs w:val="24"/>
        </w:rPr>
        <w:t>ț</w:t>
      </w:r>
      <w:r w:rsidR="006645F9" w:rsidRPr="004C6189">
        <w:rPr>
          <w:rFonts w:ascii="Times New Roman" w:eastAsia="SimSun" w:hAnsi="Times New Roman" w:cs="Times New Roman"/>
          <w:b/>
          <w:sz w:val="24"/>
          <w:szCs w:val="24"/>
        </w:rPr>
        <w:t>-</w:t>
      </w:r>
      <w:r w:rsidRPr="004C6189">
        <w:rPr>
          <w:rFonts w:ascii="Times New Roman" w:eastAsia="SimSun" w:hAnsi="Times New Roman" w:cs="Times New Roman"/>
          <w:b/>
          <w:sz w:val="24"/>
          <w:szCs w:val="24"/>
        </w:rPr>
        <w:t>Cristian SĂVOIU</w:t>
      </w:r>
    </w:p>
    <w:p w14:paraId="307C042A" w14:textId="77777777" w:rsidR="00D67264" w:rsidRPr="004C6189" w:rsidRDefault="00D67264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20B8841F" w14:textId="77777777" w:rsidR="00D67264" w:rsidRPr="004C6189" w:rsidRDefault="00D67264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2CC08546" w14:textId="77777777" w:rsidR="00850D47" w:rsidRDefault="00850D47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0311BF3A" w14:textId="77777777" w:rsidR="00BE6FFE" w:rsidRPr="004C6189" w:rsidRDefault="00BE6FFE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61B149F7" w14:textId="77777777" w:rsidR="00D67264" w:rsidRPr="004C6189" w:rsidRDefault="00D67264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71870850" w14:textId="77777777" w:rsidR="00D67264" w:rsidRPr="004C6189" w:rsidRDefault="00D67264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6456CBCA" w14:textId="77777777" w:rsidR="00D67264" w:rsidRPr="004C6189" w:rsidRDefault="00D67264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4C6189">
        <w:rPr>
          <w:rFonts w:ascii="Times New Roman" w:eastAsia="SimSun" w:hAnsi="Times New Roman" w:cs="Times New Roman"/>
          <w:b/>
          <w:sz w:val="24"/>
          <w:szCs w:val="24"/>
        </w:rPr>
        <w:t>SECRETAR GENERAL</w:t>
      </w:r>
    </w:p>
    <w:p w14:paraId="70D4DF6B" w14:textId="1AFCD537" w:rsidR="00D67264" w:rsidRPr="004C6189" w:rsidRDefault="00D67264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4C6189">
        <w:rPr>
          <w:rFonts w:ascii="Times New Roman" w:eastAsia="SimSun" w:hAnsi="Times New Roman" w:cs="Times New Roman"/>
          <w:b/>
          <w:sz w:val="24"/>
          <w:szCs w:val="24"/>
        </w:rPr>
        <w:t>Mariana IONI</w:t>
      </w:r>
      <w:r w:rsidR="00140399">
        <w:rPr>
          <w:rFonts w:ascii="Times New Roman" w:eastAsia="SimSun" w:hAnsi="Times New Roman" w:cs="Times New Roman"/>
          <w:b/>
          <w:sz w:val="24"/>
          <w:szCs w:val="24"/>
        </w:rPr>
        <w:t>Ț</w:t>
      </w:r>
      <w:r w:rsidRPr="004C6189">
        <w:rPr>
          <w:rFonts w:ascii="Times New Roman" w:eastAsia="SimSun" w:hAnsi="Times New Roman" w:cs="Times New Roman"/>
          <w:b/>
          <w:sz w:val="24"/>
          <w:szCs w:val="24"/>
        </w:rPr>
        <w:t>Ă</w:t>
      </w:r>
    </w:p>
    <w:p w14:paraId="318C0050" w14:textId="77777777" w:rsidR="00D67264" w:rsidRDefault="00D67264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2457A486" w14:textId="77777777" w:rsidR="00BE6FFE" w:rsidRPr="004C6189" w:rsidRDefault="00BE6FFE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62F4BB07" w14:textId="77777777" w:rsidR="00D67264" w:rsidRPr="004C6189" w:rsidRDefault="00D67264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61B7DDB3" w14:textId="77777777" w:rsidR="00D67264" w:rsidRPr="004C6189" w:rsidRDefault="00D67264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70C5A7F7" w14:textId="77777777" w:rsidR="00850D47" w:rsidRPr="004C6189" w:rsidRDefault="00850D47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365A5AAF" w14:textId="77777777" w:rsidR="00D67264" w:rsidRPr="004C6189" w:rsidRDefault="00D67264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4355BD05" w14:textId="77777777" w:rsidR="00D67264" w:rsidRPr="004C6189" w:rsidRDefault="00D67264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4C6189">
        <w:rPr>
          <w:rFonts w:ascii="Times New Roman" w:eastAsia="SimSun" w:hAnsi="Times New Roman" w:cs="Times New Roman"/>
          <w:b/>
          <w:sz w:val="24"/>
          <w:szCs w:val="24"/>
        </w:rPr>
        <w:t>SECRETAR GENERAL ADJUNCT</w:t>
      </w:r>
    </w:p>
    <w:p w14:paraId="4B4153AA" w14:textId="5535424B" w:rsidR="00D67264" w:rsidRPr="004C6189" w:rsidRDefault="00D67264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4C6189">
        <w:rPr>
          <w:rFonts w:ascii="Times New Roman" w:eastAsia="SimSun" w:hAnsi="Times New Roman" w:cs="Times New Roman"/>
          <w:b/>
          <w:sz w:val="24"/>
          <w:szCs w:val="24"/>
        </w:rPr>
        <w:t>Adrian GAVRU</w:t>
      </w:r>
      <w:r w:rsidR="00140399">
        <w:rPr>
          <w:rFonts w:ascii="Times New Roman" w:eastAsia="SimSun" w:hAnsi="Times New Roman" w:cs="Times New Roman"/>
          <w:b/>
          <w:sz w:val="24"/>
          <w:szCs w:val="24"/>
        </w:rPr>
        <w:t>Ț</w:t>
      </w:r>
      <w:r w:rsidRPr="004C6189">
        <w:rPr>
          <w:rFonts w:ascii="Times New Roman" w:eastAsia="SimSun" w:hAnsi="Times New Roman" w:cs="Times New Roman"/>
          <w:b/>
          <w:sz w:val="24"/>
          <w:szCs w:val="24"/>
        </w:rPr>
        <w:t>A</w:t>
      </w:r>
    </w:p>
    <w:p w14:paraId="24337B59" w14:textId="77777777" w:rsidR="00D67264" w:rsidRPr="004C6189" w:rsidRDefault="00D67264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660FCFF5" w14:textId="77777777" w:rsidR="00D67264" w:rsidRPr="004C6189" w:rsidRDefault="00D67264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07A9E6EA" w14:textId="77777777" w:rsidR="00D67264" w:rsidRPr="004C6189" w:rsidRDefault="00D67264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69C9B141" w14:textId="77777777" w:rsidR="00850D47" w:rsidRDefault="00850D47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7124076F" w14:textId="77777777" w:rsidR="00BE6FFE" w:rsidRPr="004C6189" w:rsidRDefault="00BE6FFE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1E975E4D" w14:textId="77777777" w:rsidR="00D67264" w:rsidRPr="004C6189" w:rsidRDefault="00D67264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30096DB7" w14:textId="7BDF5502" w:rsidR="00D67264" w:rsidRPr="004C6189" w:rsidRDefault="00D67264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4C6189">
        <w:rPr>
          <w:rFonts w:ascii="Times New Roman" w:eastAsia="SimSun" w:hAnsi="Times New Roman" w:cs="Times New Roman"/>
          <w:b/>
          <w:sz w:val="24"/>
          <w:szCs w:val="24"/>
        </w:rPr>
        <w:t>DIREC</w:t>
      </w:r>
      <w:r w:rsidR="00140399">
        <w:rPr>
          <w:rFonts w:ascii="Times New Roman" w:eastAsia="SimSun" w:hAnsi="Times New Roman" w:cs="Times New Roman"/>
          <w:b/>
          <w:sz w:val="24"/>
          <w:szCs w:val="24"/>
        </w:rPr>
        <w:t>Ț</w:t>
      </w:r>
      <w:r w:rsidR="000161C5" w:rsidRPr="004C6189">
        <w:rPr>
          <w:rFonts w:ascii="Times New Roman" w:eastAsia="SimSun" w:hAnsi="Times New Roman" w:cs="Times New Roman"/>
          <w:b/>
          <w:sz w:val="24"/>
          <w:szCs w:val="24"/>
        </w:rPr>
        <w:t>IA</w:t>
      </w:r>
      <w:r w:rsidRPr="004C6189">
        <w:rPr>
          <w:rFonts w:ascii="Times New Roman" w:eastAsia="SimSun" w:hAnsi="Times New Roman" w:cs="Times New Roman"/>
          <w:b/>
          <w:sz w:val="24"/>
          <w:szCs w:val="24"/>
        </w:rPr>
        <w:t xml:space="preserve"> JURIDICĂ</w:t>
      </w:r>
    </w:p>
    <w:p w14:paraId="74C2D2BB" w14:textId="77777777" w:rsidR="00D67264" w:rsidRPr="004C6189" w:rsidRDefault="00D67264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4C6189">
        <w:rPr>
          <w:rFonts w:ascii="Times New Roman" w:eastAsia="SimSun" w:hAnsi="Times New Roman" w:cs="Times New Roman"/>
          <w:b/>
          <w:sz w:val="24"/>
          <w:szCs w:val="24"/>
        </w:rPr>
        <w:t xml:space="preserve">DIRECTOR </w:t>
      </w:r>
    </w:p>
    <w:p w14:paraId="711B342F" w14:textId="33E6094F" w:rsidR="00D67264" w:rsidRPr="004C6189" w:rsidRDefault="008635DE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Marius </w:t>
      </w:r>
      <w:r w:rsidR="00563910">
        <w:rPr>
          <w:rFonts w:ascii="Times New Roman" w:eastAsia="SimSun" w:hAnsi="Times New Roman" w:cs="Times New Roman"/>
          <w:b/>
          <w:sz w:val="24"/>
          <w:szCs w:val="24"/>
        </w:rPr>
        <w:t>TOADER</w:t>
      </w:r>
    </w:p>
    <w:p w14:paraId="3BADF0C7" w14:textId="77777777" w:rsidR="00D67264" w:rsidRPr="004C6189" w:rsidRDefault="00D67264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1AFAC5F5" w14:textId="77777777" w:rsidR="00D67264" w:rsidRPr="004C6189" w:rsidRDefault="00D67264" w:rsidP="004C6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1F4A2" w14:textId="77777777" w:rsidR="00850D47" w:rsidRDefault="00850D47" w:rsidP="004C6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2105E0" w14:textId="77777777" w:rsidR="00BE6FFE" w:rsidRDefault="00BE6FFE" w:rsidP="004C6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81DEC" w14:textId="77777777" w:rsidR="00BE6FFE" w:rsidRDefault="00BE6FFE" w:rsidP="004C6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511B30" w14:textId="77777777" w:rsidR="00BE6FFE" w:rsidRPr="004C6189" w:rsidRDefault="00BE6FFE" w:rsidP="004C6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88FC4E" w14:textId="2197ADC1" w:rsidR="00D67264" w:rsidRDefault="00BE6FFE" w:rsidP="004C6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DIRECŢIA ECONOMICĂ</w:t>
      </w:r>
    </w:p>
    <w:p w14:paraId="15052685" w14:textId="20BC2FF9" w:rsidR="00BE6FFE" w:rsidRDefault="00BE6FFE" w:rsidP="004C6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DIRECTOR</w:t>
      </w:r>
    </w:p>
    <w:p w14:paraId="1D1C16AB" w14:textId="24EA6832" w:rsidR="00BE6FFE" w:rsidRPr="004C6189" w:rsidRDefault="00BE6FFE" w:rsidP="004C6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Laura GÎRLĂ</w:t>
      </w:r>
    </w:p>
    <w:p w14:paraId="1F440DEF" w14:textId="77777777" w:rsidR="00D67264" w:rsidRPr="004C6189" w:rsidRDefault="00D67264" w:rsidP="004C6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F431A7" w14:textId="77777777" w:rsidR="00D67264" w:rsidRDefault="00D67264" w:rsidP="004C6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265AF1" w14:textId="77777777" w:rsidR="00BE6FFE" w:rsidRDefault="00BE6FFE" w:rsidP="004C6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E1D5B7" w14:textId="77777777" w:rsidR="00BE6FFE" w:rsidRDefault="00BE6FFE" w:rsidP="004C6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F2B1C3" w14:textId="77777777" w:rsidR="00BE6FFE" w:rsidRDefault="00BE6FFE" w:rsidP="004C6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7164B" w14:textId="77777777" w:rsidR="00BE6FFE" w:rsidRPr="004C6189" w:rsidRDefault="00BE6FFE" w:rsidP="004C6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1948E" w14:textId="7506709F" w:rsidR="00D67264" w:rsidRPr="004C6189" w:rsidRDefault="00D67264" w:rsidP="004C6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189">
        <w:rPr>
          <w:rFonts w:ascii="Times New Roman" w:hAnsi="Times New Roman" w:cs="Times New Roman"/>
          <w:b/>
          <w:sz w:val="24"/>
          <w:szCs w:val="24"/>
        </w:rPr>
        <w:t>DIREC</w:t>
      </w:r>
      <w:r w:rsidR="00140399">
        <w:rPr>
          <w:rFonts w:ascii="Times New Roman" w:hAnsi="Times New Roman" w:cs="Times New Roman"/>
          <w:b/>
          <w:sz w:val="24"/>
          <w:szCs w:val="24"/>
        </w:rPr>
        <w:t>Ț</w:t>
      </w:r>
      <w:r w:rsidRPr="004C6189">
        <w:rPr>
          <w:rFonts w:ascii="Times New Roman" w:hAnsi="Times New Roman" w:cs="Times New Roman"/>
          <w:b/>
          <w:sz w:val="24"/>
          <w:szCs w:val="24"/>
        </w:rPr>
        <w:t>IA TRANSPORT FEROVIAR</w:t>
      </w:r>
    </w:p>
    <w:p w14:paraId="3B4CF0F7" w14:textId="77777777" w:rsidR="00D67264" w:rsidRPr="004C6189" w:rsidRDefault="00D67264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4C6189">
        <w:rPr>
          <w:rFonts w:ascii="Times New Roman" w:hAnsi="Times New Roman" w:cs="Times New Roman"/>
          <w:b/>
          <w:sz w:val="24"/>
          <w:szCs w:val="24"/>
        </w:rPr>
        <w:t>DIRECTOR</w:t>
      </w:r>
    </w:p>
    <w:p w14:paraId="11C5046E" w14:textId="77777777" w:rsidR="00D67264" w:rsidRPr="004C6189" w:rsidRDefault="00D67264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4C6189">
        <w:rPr>
          <w:rFonts w:ascii="Times New Roman" w:eastAsia="SimSun" w:hAnsi="Times New Roman" w:cs="Times New Roman"/>
          <w:b/>
          <w:sz w:val="24"/>
          <w:szCs w:val="24"/>
        </w:rPr>
        <w:t>Mihaela MOCANU</w:t>
      </w:r>
    </w:p>
    <w:p w14:paraId="4E47BB7D" w14:textId="77777777" w:rsidR="00D67264" w:rsidRPr="004C6189" w:rsidRDefault="00D67264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30F087D9" w14:textId="77777777" w:rsidR="00D67264" w:rsidRPr="004C6189" w:rsidRDefault="00D67264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5532EBE1" w14:textId="77777777" w:rsidR="00850D47" w:rsidRPr="004C6189" w:rsidRDefault="00850D47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5140DA95" w14:textId="77777777" w:rsidR="00D67264" w:rsidRPr="004C6189" w:rsidRDefault="00D67264" w:rsidP="004C618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14:paraId="2A99D430" w14:textId="77777777" w:rsidR="00AF75D3" w:rsidRPr="004C6189" w:rsidRDefault="00AF75D3" w:rsidP="004C6189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sectPr w:rsidR="00AF75D3" w:rsidRPr="004C6189" w:rsidSect="006A007B">
      <w:pgSz w:w="12240" w:h="15840" w:code="1"/>
      <w:pgMar w:top="794" w:right="794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5CA3E21"/>
    <w:multiLevelType w:val="hybridMultilevel"/>
    <w:tmpl w:val="6FD0D8A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11AA8"/>
    <w:multiLevelType w:val="hybridMultilevel"/>
    <w:tmpl w:val="86807972"/>
    <w:lvl w:ilvl="0" w:tplc="69D22E04">
      <w:start w:val="1"/>
      <w:numFmt w:val="lowerLetter"/>
      <w:lvlText w:val="%1)"/>
      <w:lvlJc w:val="left"/>
      <w:pPr>
        <w:ind w:left="1854" w:hanging="360"/>
      </w:pPr>
      <w:rPr>
        <w:b/>
        <w:bCs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69E51E9"/>
    <w:multiLevelType w:val="hybridMultilevel"/>
    <w:tmpl w:val="82E8A836"/>
    <w:lvl w:ilvl="0" w:tplc="B7CCBA1C">
      <w:start w:val="1"/>
      <w:numFmt w:val="lowerLetter"/>
      <w:lvlText w:val="%1)"/>
      <w:lvlJc w:val="left"/>
      <w:pPr>
        <w:ind w:left="644" w:hanging="360"/>
      </w:pPr>
      <w:rPr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81562A"/>
    <w:multiLevelType w:val="hybridMultilevel"/>
    <w:tmpl w:val="8B2690EA"/>
    <w:lvl w:ilvl="0" w:tplc="D4F2D28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420A7C"/>
    <w:multiLevelType w:val="hybridMultilevel"/>
    <w:tmpl w:val="A43C2D4E"/>
    <w:lvl w:ilvl="0" w:tplc="53F2EC30">
      <w:start w:val="9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7618F6C6">
      <w:start w:val="1"/>
      <w:numFmt w:val="lowerRoman"/>
      <w:lvlText w:val="%2)"/>
      <w:lvlJc w:val="left"/>
      <w:pPr>
        <w:ind w:left="1866" w:hanging="720"/>
      </w:pPr>
      <w:rPr>
        <w:rFonts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53B128E"/>
    <w:multiLevelType w:val="hybridMultilevel"/>
    <w:tmpl w:val="380C8AE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66D6E"/>
    <w:multiLevelType w:val="hybridMultilevel"/>
    <w:tmpl w:val="D6EA4AF0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E3920D4"/>
    <w:multiLevelType w:val="hybridMultilevel"/>
    <w:tmpl w:val="2A602528"/>
    <w:lvl w:ilvl="0" w:tplc="533221B6">
      <w:start w:val="1"/>
      <w:numFmt w:val="lowerLetter"/>
      <w:lvlText w:val="%1)"/>
      <w:lvlJc w:val="left"/>
      <w:pPr>
        <w:ind w:left="2574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A4B33F3"/>
    <w:multiLevelType w:val="hybridMultilevel"/>
    <w:tmpl w:val="313C585E"/>
    <w:lvl w:ilvl="0" w:tplc="79C886B8">
      <w:start w:val="1"/>
      <w:numFmt w:val="lowerLetter"/>
      <w:lvlText w:val="%1)"/>
      <w:lvlJc w:val="left"/>
      <w:pPr>
        <w:ind w:left="1854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5DE0248D"/>
    <w:multiLevelType w:val="hybridMultilevel"/>
    <w:tmpl w:val="80B65AC2"/>
    <w:lvl w:ilvl="0" w:tplc="1BE0C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A4E62"/>
    <w:multiLevelType w:val="hybridMultilevel"/>
    <w:tmpl w:val="ADC88228"/>
    <w:lvl w:ilvl="0" w:tplc="089214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403CA"/>
    <w:multiLevelType w:val="hybridMultilevel"/>
    <w:tmpl w:val="2B803576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533221B6">
      <w:start w:val="1"/>
      <w:numFmt w:val="lowerLetter"/>
      <w:lvlText w:val="%2)"/>
      <w:lvlJc w:val="left"/>
      <w:pPr>
        <w:ind w:left="2007" w:hanging="360"/>
      </w:pPr>
      <w:rPr>
        <w:b/>
      </w:r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CB03FE7"/>
    <w:multiLevelType w:val="hybridMultilevel"/>
    <w:tmpl w:val="EF74F122"/>
    <w:lvl w:ilvl="0" w:tplc="6D70D8BC">
      <w:start w:val="1"/>
      <w:numFmt w:val="decimal"/>
      <w:lvlText w:val="%1."/>
      <w:lvlJc w:val="left"/>
      <w:pPr>
        <w:ind w:left="644" w:hanging="360"/>
      </w:pPr>
      <w:rPr>
        <w:rFonts w:hint="default"/>
        <w:b/>
        <w:strike w:val="0"/>
        <w:sz w:val="24"/>
        <w:szCs w:val="24"/>
      </w:rPr>
    </w:lvl>
    <w:lvl w:ilvl="1" w:tplc="27E8672A">
      <w:start w:val="1"/>
      <w:numFmt w:val="lowerLetter"/>
      <w:lvlText w:val="%2)"/>
      <w:lvlJc w:val="left"/>
      <w:pPr>
        <w:ind w:left="1662" w:hanging="375"/>
      </w:pPr>
      <w:rPr>
        <w:rFonts w:hint="default"/>
        <w:b/>
        <w:color w:val="8B0000"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67884799">
    <w:abstractNumId w:val="5"/>
  </w:num>
  <w:num w:numId="2" w16cid:durableId="1191379229">
    <w:abstractNumId w:val="11"/>
  </w:num>
  <w:num w:numId="3" w16cid:durableId="1396270831">
    <w:abstractNumId w:val="14"/>
  </w:num>
  <w:num w:numId="4" w16cid:durableId="1672562052">
    <w:abstractNumId w:val="4"/>
  </w:num>
  <w:num w:numId="5" w16cid:durableId="1971353175">
    <w:abstractNumId w:val="12"/>
  </w:num>
  <w:num w:numId="6" w16cid:durableId="596256382">
    <w:abstractNumId w:val="7"/>
  </w:num>
  <w:num w:numId="7" w16cid:durableId="457918330">
    <w:abstractNumId w:val="6"/>
  </w:num>
  <w:num w:numId="8" w16cid:durableId="955672871">
    <w:abstractNumId w:val="2"/>
  </w:num>
  <w:num w:numId="9" w16cid:durableId="507476922">
    <w:abstractNumId w:val="3"/>
  </w:num>
  <w:num w:numId="10" w16cid:durableId="440297495">
    <w:abstractNumId w:val="10"/>
  </w:num>
  <w:num w:numId="11" w16cid:durableId="1622221022">
    <w:abstractNumId w:val="8"/>
  </w:num>
  <w:num w:numId="12" w16cid:durableId="1270972259">
    <w:abstractNumId w:val="13"/>
  </w:num>
  <w:num w:numId="13" w16cid:durableId="103765886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98"/>
    <w:rsid w:val="00002BE4"/>
    <w:rsid w:val="00013097"/>
    <w:rsid w:val="000131BB"/>
    <w:rsid w:val="000161C5"/>
    <w:rsid w:val="000174F6"/>
    <w:rsid w:val="000211D7"/>
    <w:rsid w:val="00024DA9"/>
    <w:rsid w:val="000254E2"/>
    <w:rsid w:val="00031DF9"/>
    <w:rsid w:val="000337FC"/>
    <w:rsid w:val="00044215"/>
    <w:rsid w:val="00044AF9"/>
    <w:rsid w:val="0004676E"/>
    <w:rsid w:val="0005299B"/>
    <w:rsid w:val="00053BE1"/>
    <w:rsid w:val="000567B6"/>
    <w:rsid w:val="000641BF"/>
    <w:rsid w:val="00065971"/>
    <w:rsid w:val="00065FC3"/>
    <w:rsid w:val="00066DFE"/>
    <w:rsid w:val="0007176B"/>
    <w:rsid w:val="00073B9D"/>
    <w:rsid w:val="000743F2"/>
    <w:rsid w:val="0008317A"/>
    <w:rsid w:val="0008392C"/>
    <w:rsid w:val="0008487A"/>
    <w:rsid w:val="000A2BC5"/>
    <w:rsid w:val="000A5C72"/>
    <w:rsid w:val="000B04C4"/>
    <w:rsid w:val="000B0B8D"/>
    <w:rsid w:val="000C05B9"/>
    <w:rsid w:val="000C1D14"/>
    <w:rsid w:val="000C6E2D"/>
    <w:rsid w:val="000D06C1"/>
    <w:rsid w:val="000D1378"/>
    <w:rsid w:val="000D4F2E"/>
    <w:rsid w:val="000D5A1D"/>
    <w:rsid w:val="000D750D"/>
    <w:rsid w:val="000E1372"/>
    <w:rsid w:val="000E3EC5"/>
    <w:rsid w:val="000E6DA2"/>
    <w:rsid w:val="000F058D"/>
    <w:rsid w:val="000F7A2C"/>
    <w:rsid w:val="001000D7"/>
    <w:rsid w:val="00100759"/>
    <w:rsid w:val="00101B90"/>
    <w:rsid w:val="00107337"/>
    <w:rsid w:val="00121236"/>
    <w:rsid w:val="00121FC4"/>
    <w:rsid w:val="00126243"/>
    <w:rsid w:val="00131717"/>
    <w:rsid w:val="00133287"/>
    <w:rsid w:val="0013679D"/>
    <w:rsid w:val="001368AD"/>
    <w:rsid w:val="00136F2D"/>
    <w:rsid w:val="00140399"/>
    <w:rsid w:val="00141127"/>
    <w:rsid w:val="00143555"/>
    <w:rsid w:val="00143EF6"/>
    <w:rsid w:val="001444B4"/>
    <w:rsid w:val="00145F12"/>
    <w:rsid w:val="00146D6D"/>
    <w:rsid w:val="00152287"/>
    <w:rsid w:val="00155505"/>
    <w:rsid w:val="001614D6"/>
    <w:rsid w:val="00162D2A"/>
    <w:rsid w:val="00165F98"/>
    <w:rsid w:val="00166780"/>
    <w:rsid w:val="00167A58"/>
    <w:rsid w:val="00173238"/>
    <w:rsid w:val="00176311"/>
    <w:rsid w:val="00183F84"/>
    <w:rsid w:val="00184109"/>
    <w:rsid w:val="001851B2"/>
    <w:rsid w:val="00186843"/>
    <w:rsid w:val="0018748E"/>
    <w:rsid w:val="00192F39"/>
    <w:rsid w:val="00192F61"/>
    <w:rsid w:val="001930A1"/>
    <w:rsid w:val="001972FD"/>
    <w:rsid w:val="001A0499"/>
    <w:rsid w:val="001A0989"/>
    <w:rsid w:val="001A0A91"/>
    <w:rsid w:val="001A20D0"/>
    <w:rsid w:val="001B0177"/>
    <w:rsid w:val="001B1B1F"/>
    <w:rsid w:val="001B42C9"/>
    <w:rsid w:val="001C07D9"/>
    <w:rsid w:val="001D04AD"/>
    <w:rsid w:val="001D05C0"/>
    <w:rsid w:val="001D2A5D"/>
    <w:rsid w:val="001D4E12"/>
    <w:rsid w:val="001D78C6"/>
    <w:rsid w:val="001E7803"/>
    <w:rsid w:val="001E7B76"/>
    <w:rsid w:val="001F2954"/>
    <w:rsid w:val="001F3D7C"/>
    <w:rsid w:val="001F604F"/>
    <w:rsid w:val="002020B3"/>
    <w:rsid w:val="0020305E"/>
    <w:rsid w:val="002030B2"/>
    <w:rsid w:val="0021007A"/>
    <w:rsid w:val="00211CE1"/>
    <w:rsid w:val="002120B0"/>
    <w:rsid w:val="00213BA2"/>
    <w:rsid w:val="002154FB"/>
    <w:rsid w:val="002155D7"/>
    <w:rsid w:val="0021564A"/>
    <w:rsid w:val="00216D5F"/>
    <w:rsid w:val="00221998"/>
    <w:rsid w:val="002266D1"/>
    <w:rsid w:val="00226C44"/>
    <w:rsid w:val="00230B27"/>
    <w:rsid w:val="00231991"/>
    <w:rsid w:val="00231EE1"/>
    <w:rsid w:val="0023464E"/>
    <w:rsid w:val="00237680"/>
    <w:rsid w:val="002407EE"/>
    <w:rsid w:val="002409CE"/>
    <w:rsid w:val="0024338D"/>
    <w:rsid w:val="002437DA"/>
    <w:rsid w:val="00244435"/>
    <w:rsid w:val="00250850"/>
    <w:rsid w:val="00251FEE"/>
    <w:rsid w:val="00251FFA"/>
    <w:rsid w:val="002523CE"/>
    <w:rsid w:val="002542FC"/>
    <w:rsid w:val="00256C26"/>
    <w:rsid w:val="002605AE"/>
    <w:rsid w:val="002628BE"/>
    <w:rsid w:val="002636AF"/>
    <w:rsid w:val="00264529"/>
    <w:rsid w:val="00265C5A"/>
    <w:rsid w:val="00267302"/>
    <w:rsid w:val="002770D5"/>
    <w:rsid w:val="00281D58"/>
    <w:rsid w:val="0028254E"/>
    <w:rsid w:val="002870B1"/>
    <w:rsid w:val="0029170B"/>
    <w:rsid w:val="00291D65"/>
    <w:rsid w:val="002926B4"/>
    <w:rsid w:val="002A3CB6"/>
    <w:rsid w:val="002A4793"/>
    <w:rsid w:val="002A4855"/>
    <w:rsid w:val="002A6056"/>
    <w:rsid w:val="002A6DAB"/>
    <w:rsid w:val="002B371E"/>
    <w:rsid w:val="002B5A94"/>
    <w:rsid w:val="002B67A5"/>
    <w:rsid w:val="002C17FA"/>
    <w:rsid w:val="002C1836"/>
    <w:rsid w:val="002C4F79"/>
    <w:rsid w:val="002C62C6"/>
    <w:rsid w:val="002C7C28"/>
    <w:rsid w:val="002D3215"/>
    <w:rsid w:val="002D3739"/>
    <w:rsid w:val="002D3C10"/>
    <w:rsid w:val="002D4549"/>
    <w:rsid w:val="002D554D"/>
    <w:rsid w:val="002E20F7"/>
    <w:rsid w:val="002E5F25"/>
    <w:rsid w:val="002E6333"/>
    <w:rsid w:val="002F6824"/>
    <w:rsid w:val="00306A51"/>
    <w:rsid w:val="0030707C"/>
    <w:rsid w:val="00315AFF"/>
    <w:rsid w:val="00321182"/>
    <w:rsid w:val="00326C5B"/>
    <w:rsid w:val="003330BC"/>
    <w:rsid w:val="0034100D"/>
    <w:rsid w:val="003411A0"/>
    <w:rsid w:val="00341220"/>
    <w:rsid w:val="00343F1E"/>
    <w:rsid w:val="00353584"/>
    <w:rsid w:val="00356272"/>
    <w:rsid w:val="003563AE"/>
    <w:rsid w:val="00363058"/>
    <w:rsid w:val="003630EA"/>
    <w:rsid w:val="00363631"/>
    <w:rsid w:val="00365B73"/>
    <w:rsid w:val="00370F97"/>
    <w:rsid w:val="0037116D"/>
    <w:rsid w:val="00373A09"/>
    <w:rsid w:val="003744DD"/>
    <w:rsid w:val="00375134"/>
    <w:rsid w:val="00375E75"/>
    <w:rsid w:val="00375FCD"/>
    <w:rsid w:val="0037670C"/>
    <w:rsid w:val="00377358"/>
    <w:rsid w:val="0038515A"/>
    <w:rsid w:val="00387166"/>
    <w:rsid w:val="00387F37"/>
    <w:rsid w:val="003905CA"/>
    <w:rsid w:val="0039184D"/>
    <w:rsid w:val="003941C6"/>
    <w:rsid w:val="003A10BF"/>
    <w:rsid w:val="003A234B"/>
    <w:rsid w:val="003A5254"/>
    <w:rsid w:val="003A570C"/>
    <w:rsid w:val="003A7722"/>
    <w:rsid w:val="003B00E0"/>
    <w:rsid w:val="003B05F0"/>
    <w:rsid w:val="003B27AE"/>
    <w:rsid w:val="003B365F"/>
    <w:rsid w:val="003B3670"/>
    <w:rsid w:val="003B3672"/>
    <w:rsid w:val="003B3BE4"/>
    <w:rsid w:val="003B4937"/>
    <w:rsid w:val="003B6587"/>
    <w:rsid w:val="003B7F2C"/>
    <w:rsid w:val="003C0813"/>
    <w:rsid w:val="003C1714"/>
    <w:rsid w:val="003C3701"/>
    <w:rsid w:val="003C4307"/>
    <w:rsid w:val="003C5FC2"/>
    <w:rsid w:val="003C69E7"/>
    <w:rsid w:val="003C6E2F"/>
    <w:rsid w:val="003C7114"/>
    <w:rsid w:val="003D12C2"/>
    <w:rsid w:val="003D1A68"/>
    <w:rsid w:val="003D1CA4"/>
    <w:rsid w:val="003D2E01"/>
    <w:rsid w:val="003E331E"/>
    <w:rsid w:val="003F1E88"/>
    <w:rsid w:val="003F4536"/>
    <w:rsid w:val="003F557D"/>
    <w:rsid w:val="003F7177"/>
    <w:rsid w:val="004007D2"/>
    <w:rsid w:val="00404882"/>
    <w:rsid w:val="0040555F"/>
    <w:rsid w:val="00406BBB"/>
    <w:rsid w:val="0040731F"/>
    <w:rsid w:val="004078D9"/>
    <w:rsid w:val="004158FD"/>
    <w:rsid w:val="00416CA9"/>
    <w:rsid w:val="0042083A"/>
    <w:rsid w:val="004208FE"/>
    <w:rsid w:val="0042302C"/>
    <w:rsid w:val="004234AA"/>
    <w:rsid w:val="00426FBA"/>
    <w:rsid w:val="00431A9C"/>
    <w:rsid w:val="00433EEB"/>
    <w:rsid w:val="0043638E"/>
    <w:rsid w:val="004427AE"/>
    <w:rsid w:val="00443686"/>
    <w:rsid w:val="00447920"/>
    <w:rsid w:val="004518B2"/>
    <w:rsid w:val="00451E76"/>
    <w:rsid w:val="004528A9"/>
    <w:rsid w:val="0045500B"/>
    <w:rsid w:val="004642D4"/>
    <w:rsid w:val="0046752F"/>
    <w:rsid w:val="00471F2A"/>
    <w:rsid w:val="00472696"/>
    <w:rsid w:val="0047400F"/>
    <w:rsid w:val="00476352"/>
    <w:rsid w:val="00481274"/>
    <w:rsid w:val="00482FE9"/>
    <w:rsid w:val="00485A5E"/>
    <w:rsid w:val="0049268D"/>
    <w:rsid w:val="00492B3E"/>
    <w:rsid w:val="00492F50"/>
    <w:rsid w:val="004931BB"/>
    <w:rsid w:val="00493982"/>
    <w:rsid w:val="0049407C"/>
    <w:rsid w:val="00495BAF"/>
    <w:rsid w:val="00496F2A"/>
    <w:rsid w:val="004A02F0"/>
    <w:rsid w:val="004A1D81"/>
    <w:rsid w:val="004B2C3F"/>
    <w:rsid w:val="004B3E9E"/>
    <w:rsid w:val="004B4EB7"/>
    <w:rsid w:val="004B5971"/>
    <w:rsid w:val="004C198B"/>
    <w:rsid w:val="004C3758"/>
    <w:rsid w:val="004C3D05"/>
    <w:rsid w:val="004C6189"/>
    <w:rsid w:val="004C7E65"/>
    <w:rsid w:val="004D3A73"/>
    <w:rsid w:val="004D578F"/>
    <w:rsid w:val="004E0234"/>
    <w:rsid w:val="004E14D0"/>
    <w:rsid w:val="004E686B"/>
    <w:rsid w:val="004F10C2"/>
    <w:rsid w:val="004F24FB"/>
    <w:rsid w:val="005000DA"/>
    <w:rsid w:val="00500C4B"/>
    <w:rsid w:val="005014F1"/>
    <w:rsid w:val="00501578"/>
    <w:rsid w:val="005021E9"/>
    <w:rsid w:val="00502844"/>
    <w:rsid w:val="00517391"/>
    <w:rsid w:val="0052187D"/>
    <w:rsid w:val="00523309"/>
    <w:rsid w:val="00523753"/>
    <w:rsid w:val="005263B3"/>
    <w:rsid w:val="0053421E"/>
    <w:rsid w:val="00534605"/>
    <w:rsid w:val="005366DE"/>
    <w:rsid w:val="00536856"/>
    <w:rsid w:val="00540436"/>
    <w:rsid w:val="00540D29"/>
    <w:rsid w:val="005519FE"/>
    <w:rsid w:val="00552BD1"/>
    <w:rsid w:val="005539BB"/>
    <w:rsid w:val="00553E11"/>
    <w:rsid w:val="00555DF8"/>
    <w:rsid w:val="0055740D"/>
    <w:rsid w:val="00562D87"/>
    <w:rsid w:val="00563910"/>
    <w:rsid w:val="00564871"/>
    <w:rsid w:val="00565144"/>
    <w:rsid w:val="00576E62"/>
    <w:rsid w:val="005831B7"/>
    <w:rsid w:val="00587607"/>
    <w:rsid w:val="005910D7"/>
    <w:rsid w:val="00597319"/>
    <w:rsid w:val="005A0577"/>
    <w:rsid w:val="005A4D18"/>
    <w:rsid w:val="005B160B"/>
    <w:rsid w:val="005B36D9"/>
    <w:rsid w:val="005B7326"/>
    <w:rsid w:val="005C1D3F"/>
    <w:rsid w:val="005C1EC6"/>
    <w:rsid w:val="005C239C"/>
    <w:rsid w:val="005C330F"/>
    <w:rsid w:val="005C4E49"/>
    <w:rsid w:val="005D2169"/>
    <w:rsid w:val="005D4F88"/>
    <w:rsid w:val="005D5CBC"/>
    <w:rsid w:val="005D5F35"/>
    <w:rsid w:val="005D668E"/>
    <w:rsid w:val="005E22A7"/>
    <w:rsid w:val="005E4C9A"/>
    <w:rsid w:val="005F2603"/>
    <w:rsid w:val="005F3AB5"/>
    <w:rsid w:val="005F7957"/>
    <w:rsid w:val="00601018"/>
    <w:rsid w:val="00601F97"/>
    <w:rsid w:val="00613788"/>
    <w:rsid w:val="0061799B"/>
    <w:rsid w:val="00621DD8"/>
    <w:rsid w:val="006237BB"/>
    <w:rsid w:val="00623D72"/>
    <w:rsid w:val="006303D8"/>
    <w:rsid w:val="00630806"/>
    <w:rsid w:val="0063495C"/>
    <w:rsid w:val="0063515C"/>
    <w:rsid w:val="006448BC"/>
    <w:rsid w:val="006454E1"/>
    <w:rsid w:val="00653707"/>
    <w:rsid w:val="00655639"/>
    <w:rsid w:val="0066124A"/>
    <w:rsid w:val="006628B7"/>
    <w:rsid w:val="006645F9"/>
    <w:rsid w:val="00670FA8"/>
    <w:rsid w:val="00677904"/>
    <w:rsid w:val="00684B72"/>
    <w:rsid w:val="006866A5"/>
    <w:rsid w:val="0068734C"/>
    <w:rsid w:val="00690741"/>
    <w:rsid w:val="006937BD"/>
    <w:rsid w:val="00697EF8"/>
    <w:rsid w:val="006A007B"/>
    <w:rsid w:val="006A0C37"/>
    <w:rsid w:val="006C2912"/>
    <w:rsid w:val="006D0DF0"/>
    <w:rsid w:val="006D24A3"/>
    <w:rsid w:val="006D436A"/>
    <w:rsid w:val="006E1151"/>
    <w:rsid w:val="006E1A57"/>
    <w:rsid w:val="006E3D2E"/>
    <w:rsid w:val="006F13BF"/>
    <w:rsid w:val="006F3DCB"/>
    <w:rsid w:val="006F3F4E"/>
    <w:rsid w:val="00702759"/>
    <w:rsid w:val="00706787"/>
    <w:rsid w:val="00706C86"/>
    <w:rsid w:val="00713668"/>
    <w:rsid w:val="00715260"/>
    <w:rsid w:val="00716C80"/>
    <w:rsid w:val="0072098D"/>
    <w:rsid w:val="00720D95"/>
    <w:rsid w:val="007255BC"/>
    <w:rsid w:val="00725F8A"/>
    <w:rsid w:val="00730DEC"/>
    <w:rsid w:val="00731A84"/>
    <w:rsid w:val="00733175"/>
    <w:rsid w:val="007334A7"/>
    <w:rsid w:val="00733C0E"/>
    <w:rsid w:val="00736AE3"/>
    <w:rsid w:val="007413E6"/>
    <w:rsid w:val="00741F1C"/>
    <w:rsid w:val="00744030"/>
    <w:rsid w:val="00744A35"/>
    <w:rsid w:val="00745977"/>
    <w:rsid w:val="00754DA8"/>
    <w:rsid w:val="00761E3E"/>
    <w:rsid w:val="00762227"/>
    <w:rsid w:val="00762E16"/>
    <w:rsid w:val="00764FFB"/>
    <w:rsid w:val="00767AD0"/>
    <w:rsid w:val="00770876"/>
    <w:rsid w:val="00773AEF"/>
    <w:rsid w:val="00774502"/>
    <w:rsid w:val="007752F1"/>
    <w:rsid w:val="007803F0"/>
    <w:rsid w:val="00780934"/>
    <w:rsid w:val="00781467"/>
    <w:rsid w:val="00781830"/>
    <w:rsid w:val="007820A3"/>
    <w:rsid w:val="00783825"/>
    <w:rsid w:val="00790721"/>
    <w:rsid w:val="00791F96"/>
    <w:rsid w:val="00792013"/>
    <w:rsid w:val="00794DDA"/>
    <w:rsid w:val="00796BBA"/>
    <w:rsid w:val="007A003A"/>
    <w:rsid w:val="007A58AA"/>
    <w:rsid w:val="007A5964"/>
    <w:rsid w:val="007A73EC"/>
    <w:rsid w:val="007B0F39"/>
    <w:rsid w:val="007B2DB8"/>
    <w:rsid w:val="007C2125"/>
    <w:rsid w:val="007C3E76"/>
    <w:rsid w:val="007C6E1C"/>
    <w:rsid w:val="007D12A4"/>
    <w:rsid w:val="007D1952"/>
    <w:rsid w:val="007D20EE"/>
    <w:rsid w:val="007D30A2"/>
    <w:rsid w:val="007E22B5"/>
    <w:rsid w:val="007E57B8"/>
    <w:rsid w:val="007E57E4"/>
    <w:rsid w:val="007E60D1"/>
    <w:rsid w:val="007F2431"/>
    <w:rsid w:val="007F6E0A"/>
    <w:rsid w:val="007F6F41"/>
    <w:rsid w:val="00801D5C"/>
    <w:rsid w:val="0081204A"/>
    <w:rsid w:val="008160C6"/>
    <w:rsid w:val="00822742"/>
    <w:rsid w:val="00825904"/>
    <w:rsid w:val="008274F4"/>
    <w:rsid w:val="008334F2"/>
    <w:rsid w:val="00835BAC"/>
    <w:rsid w:val="00836581"/>
    <w:rsid w:val="00841F50"/>
    <w:rsid w:val="008509E3"/>
    <w:rsid w:val="00850D47"/>
    <w:rsid w:val="008575FD"/>
    <w:rsid w:val="0085798E"/>
    <w:rsid w:val="008623A0"/>
    <w:rsid w:val="0086282C"/>
    <w:rsid w:val="008635DE"/>
    <w:rsid w:val="00864399"/>
    <w:rsid w:val="008673FD"/>
    <w:rsid w:val="00873552"/>
    <w:rsid w:val="00884507"/>
    <w:rsid w:val="00891D2F"/>
    <w:rsid w:val="00892B69"/>
    <w:rsid w:val="00893CFC"/>
    <w:rsid w:val="008948FF"/>
    <w:rsid w:val="00897E67"/>
    <w:rsid w:val="008A0905"/>
    <w:rsid w:val="008A1318"/>
    <w:rsid w:val="008A1DF9"/>
    <w:rsid w:val="008A280A"/>
    <w:rsid w:val="008A57B2"/>
    <w:rsid w:val="008A71B3"/>
    <w:rsid w:val="008B2F52"/>
    <w:rsid w:val="008B43A5"/>
    <w:rsid w:val="008C24CD"/>
    <w:rsid w:val="008C75BF"/>
    <w:rsid w:val="008D1ED1"/>
    <w:rsid w:val="008D35C5"/>
    <w:rsid w:val="008D389D"/>
    <w:rsid w:val="008D3BB1"/>
    <w:rsid w:val="008D3BDE"/>
    <w:rsid w:val="008D4337"/>
    <w:rsid w:val="008D778F"/>
    <w:rsid w:val="008D7E29"/>
    <w:rsid w:val="008E350A"/>
    <w:rsid w:val="008E5AA7"/>
    <w:rsid w:val="008E660B"/>
    <w:rsid w:val="008E7012"/>
    <w:rsid w:val="008F0AF6"/>
    <w:rsid w:val="008F2CC9"/>
    <w:rsid w:val="008F3664"/>
    <w:rsid w:val="008F70D0"/>
    <w:rsid w:val="008F79FA"/>
    <w:rsid w:val="00901851"/>
    <w:rsid w:val="0090350D"/>
    <w:rsid w:val="0090545F"/>
    <w:rsid w:val="009054E3"/>
    <w:rsid w:val="009129A6"/>
    <w:rsid w:val="00922468"/>
    <w:rsid w:val="0092499F"/>
    <w:rsid w:val="00927A14"/>
    <w:rsid w:val="009439FE"/>
    <w:rsid w:val="00945D92"/>
    <w:rsid w:val="00952EFF"/>
    <w:rsid w:val="00953546"/>
    <w:rsid w:val="00954F76"/>
    <w:rsid w:val="0095690E"/>
    <w:rsid w:val="00956FAF"/>
    <w:rsid w:val="00964B6D"/>
    <w:rsid w:val="00972D91"/>
    <w:rsid w:val="00975048"/>
    <w:rsid w:val="00980864"/>
    <w:rsid w:val="00980EC8"/>
    <w:rsid w:val="00987B7B"/>
    <w:rsid w:val="00991CF5"/>
    <w:rsid w:val="009949F0"/>
    <w:rsid w:val="009975D1"/>
    <w:rsid w:val="009A09EF"/>
    <w:rsid w:val="009A0AA9"/>
    <w:rsid w:val="009A1234"/>
    <w:rsid w:val="009A1E84"/>
    <w:rsid w:val="009A243D"/>
    <w:rsid w:val="009A24A6"/>
    <w:rsid w:val="009A442A"/>
    <w:rsid w:val="009A4912"/>
    <w:rsid w:val="009A69A0"/>
    <w:rsid w:val="009A70DE"/>
    <w:rsid w:val="009A7F46"/>
    <w:rsid w:val="009B066F"/>
    <w:rsid w:val="009B1631"/>
    <w:rsid w:val="009B3365"/>
    <w:rsid w:val="009B44A0"/>
    <w:rsid w:val="009B4604"/>
    <w:rsid w:val="009C386C"/>
    <w:rsid w:val="009C5725"/>
    <w:rsid w:val="009C6B88"/>
    <w:rsid w:val="009C73B3"/>
    <w:rsid w:val="009D43C7"/>
    <w:rsid w:val="009D5B21"/>
    <w:rsid w:val="009D6BCC"/>
    <w:rsid w:val="009E3399"/>
    <w:rsid w:val="009E58EA"/>
    <w:rsid w:val="009E5E5E"/>
    <w:rsid w:val="009F24CA"/>
    <w:rsid w:val="009F26F2"/>
    <w:rsid w:val="009F42F7"/>
    <w:rsid w:val="009F58FD"/>
    <w:rsid w:val="00A013D8"/>
    <w:rsid w:val="00A0656E"/>
    <w:rsid w:val="00A10B9B"/>
    <w:rsid w:val="00A117EA"/>
    <w:rsid w:val="00A14CD6"/>
    <w:rsid w:val="00A179AA"/>
    <w:rsid w:val="00A21225"/>
    <w:rsid w:val="00A250B6"/>
    <w:rsid w:val="00A25F1B"/>
    <w:rsid w:val="00A32135"/>
    <w:rsid w:val="00A340A1"/>
    <w:rsid w:val="00A358A0"/>
    <w:rsid w:val="00A46E10"/>
    <w:rsid w:val="00A47FFA"/>
    <w:rsid w:val="00A53596"/>
    <w:rsid w:val="00A537E3"/>
    <w:rsid w:val="00A5447F"/>
    <w:rsid w:val="00A54996"/>
    <w:rsid w:val="00A622D3"/>
    <w:rsid w:val="00A62884"/>
    <w:rsid w:val="00A6295D"/>
    <w:rsid w:val="00A634B1"/>
    <w:rsid w:val="00A67CFC"/>
    <w:rsid w:val="00A71417"/>
    <w:rsid w:val="00A730AE"/>
    <w:rsid w:val="00A76240"/>
    <w:rsid w:val="00A764BA"/>
    <w:rsid w:val="00A76A24"/>
    <w:rsid w:val="00A77D17"/>
    <w:rsid w:val="00A81A53"/>
    <w:rsid w:val="00A85148"/>
    <w:rsid w:val="00A95834"/>
    <w:rsid w:val="00A95BCA"/>
    <w:rsid w:val="00AA2912"/>
    <w:rsid w:val="00AA4A80"/>
    <w:rsid w:val="00AA6C1D"/>
    <w:rsid w:val="00AA741E"/>
    <w:rsid w:val="00AB0FF0"/>
    <w:rsid w:val="00AB6A03"/>
    <w:rsid w:val="00AB710F"/>
    <w:rsid w:val="00AB7A99"/>
    <w:rsid w:val="00AC1D7C"/>
    <w:rsid w:val="00AC28D2"/>
    <w:rsid w:val="00AC3DEB"/>
    <w:rsid w:val="00AC7555"/>
    <w:rsid w:val="00AD0AB9"/>
    <w:rsid w:val="00AD4813"/>
    <w:rsid w:val="00AD794E"/>
    <w:rsid w:val="00AE02BA"/>
    <w:rsid w:val="00AE2B77"/>
    <w:rsid w:val="00AE7325"/>
    <w:rsid w:val="00AE78D3"/>
    <w:rsid w:val="00AF2B74"/>
    <w:rsid w:val="00AF5E91"/>
    <w:rsid w:val="00AF75D3"/>
    <w:rsid w:val="00AF75EC"/>
    <w:rsid w:val="00B00311"/>
    <w:rsid w:val="00B02B43"/>
    <w:rsid w:val="00B02FFD"/>
    <w:rsid w:val="00B05008"/>
    <w:rsid w:val="00B058AC"/>
    <w:rsid w:val="00B06A75"/>
    <w:rsid w:val="00B15042"/>
    <w:rsid w:val="00B15B43"/>
    <w:rsid w:val="00B173C2"/>
    <w:rsid w:val="00B225BF"/>
    <w:rsid w:val="00B240B6"/>
    <w:rsid w:val="00B24E37"/>
    <w:rsid w:val="00B30E68"/>
    <w:rsid w:val="00B31F5D"/>
    <w:rsid w:val="00B34B71"/>
    <w:rsid w:val="00B37142"/>
    <w:rsid w:val="00B4192A"/>
    <w:rsid w:val="00B440C7"/>
    <w:rsid w:val="00B444BD"/>
    <w:rsid w:val="00B4725F"/>
    <w:rsid w:val="00B50246"/>
    <w:rsid w:val="00B526C6"/>
    <w:rsid w:val="00B530FE"/>
    <w:rsid w:val="00B55397"/>
    <w:rsid w:val="00B60B31"/>
    <w:rsid w:val="00B62196"/>
    <w:rsid w:val="00B65E6F"/>
    <w:rsid w:val="00B70547"/>
    <w:rsid w:val="00B71220"/>
    <w:rsid w:val="00B71BBB"/>
    <w:rsid w:val="00B75A3D"/>
    <w:rsid w:val="00B80C29"/>
    <w:rsid w:val="00B812BE"/>
    <w:rsid w:val="00B840B4"/>
    <w:rsid w:val="00B8511F"/>
    <w:rsid w:val="00B868AC"/>
    <w:rsid w:val="00B90636"/>
    <w:rsid w:val="00B92E2D"/>
    <w:rsid w:val="00B93EC0"/>
    <w:rsid w:val="00BA40D0"/>
    <w:rsid w:val="00BA68FD"/>
    <w:rsid w:val="00BA70CA"/>
    <w:rsid w:val="00BA7A4B"/>
    <w:rsid w:val="00BB0F13"/>
    <w:rsid w:val="00BB1610"/>
    <w:rsid w:val="00BB4CB1"/>
    <w:rsid w:val="00BB4D43"/>
    <w:rsid w:val="00BB61BC"/>
    <w:rsid w:val="00BC034B"/>
    <w:rsid w:val="00BC0A1A"/>
    <w:rsid w:val="00BC2AF5"/>
    <w:rsid w:val="00BC4B5C"/>
    <w:rsid w:val="00BC4FDA"/>
    <w:rsid w:val="00BC7559"/>
    <w:rsid w:val="00BC794C"/>
    <w:rsid w:val="00BD193B"/>
    <w:rsid w:val="00BD3D1D"/>
    <w:rsid w:val="00BD6EEC"/>
    <w:rsid w:val="00BD7152"/>
    <w:rsid w:val="00BE0316"/>
    <w:rsid w:val="00BE649A"/>
    <w:rsid w:val="00BE6FFE"/>
    <w:rsid w:val="00BE7057"/>
    <w:rsid w:val="00BE7D6F"/>
    <w:rsid w:val="00BF6178"/>
    <w:rsid w:val="00BF67A7"/>
    <w:rsid w:val="00C06D76"/>
    <w:rsid w:val="00C1187F"/>
    <w:rsid w:val="00C134A7"/>
    <w:rsid w:val="00C15D44"/>
    <w:rsid w:val="00C21760"/>
    <w:rsid w:val="00C27B0A"/>
    <w:rsid w:val="00C30855"/>
    <w:rsid w:val="00C31AAC"/>
    <w:rsid w:val="00C324DA"/>
    <w:rsid w:val="00C32E9B"/>
    <w:rsid w:val="00C40630"/>
    <w:rsid w:val="00C41B44"/>
    <w:rsid w:val="00C45649"/>
    <w:rsid w:val="00C45E5E"/>
    <w:rsid w:val="00C46725"/>
    <w:rsid w:val="00C46B11"/>
    <w:rsid w:val="00C501AD"/>
    <w:rsid w:val="00C50B26"/>
    <w:rsid w:val="00C52854"/>
    <w:rsid w:val="00C55EE2"/>
    <w:rsid w:val="00C56386"/>
    <w:rsid w:val="00C576C0"/>
    <w:rsid w:val="00C60C03"/>
    <w:rsid w:val="00C62190"/>
    <w:rsid w:val="00C62649"/>
    <w:rsid w:val="00C648D4"/>
    <w:rsid w:val="00C67573"/>
    <w:rsid w:val="00C67BA6"/>
    <w:rsid w:val="00C74B8C"/>
    <w:rsid w:val="00C775F1"/>
    <w:rsid w:val="00C812BC"/>
    <w:rsid w:val="00C82AF6"/>
    <w:rsid w:val="00C858DB"/>
    <w:rsid w:val="00C876FB"/>
    <w:rsid w:val="00C94780"/>
    <w:rsid w:val="00C95053"/>
    <w:rsid w:val="00C9613A"/>
    <w:rsid w:val="00C97D09"/>
    <w:rsid w:val="00CA0D03"/>
    <w:rsid w:val="00CB0F46"/>
    <w:rsid w:val="00CB3201"/>
    <w:rsid w:val="00CB642C"/>
    <w:rsid w:val="00CD1880"/>
    <w:rsid w:val="00CD2B14"/>
    <w:rsid w:val="00CD3F77"/>
    <w:rsid w:val="00CD67F8"/>
    <w:rsid w:val="00CE2BD4"/>
    <w:rsid w:val="00CE4A50"/>
    <w:rsid w:val="00CE5163"/>
    <w:rsid w:val="00CE667C"/>
    <w:rsid w:val="00CE6CC4"/>
    <w:rsid w:val="00CF0FE6"/>
    <w:rsid w:val="00CF5989"/>
    <w:rsid w:val="00CF5AF3"/>
    <w:rsid w:val="00D04278"/>
    <w:rsid w:val="00D070AF"/>
    <w:rsid w:val="00D073AD"/>
    <w:rsid w:val="00D10F03"/>
    <w:rsid w:val="00D16D72"/>
    <w:rsid w:val="00D17A05"/>
    <w:rsid w:val="00D20641"/>
    <w:rsid w:val="00D2610F"/>
    <w:rsid w:val="00D34590"/>
    <w:rsid w:val="00D34640"/>
    <w:rsid w:val="00D36243"/>
    <w:rsid w:val="00D37465"/>
    <w:rsid w:val="00D409E2"/>
    <w:rsid w:val="00D40FC1"/>
    <w:rsid w:val="00D4443A"/>
    <w:rsid w:val="00D45D0E"/>
    <w:rsid w:val="00D46B8A"/>
    <w:rsid w:val="00D54CA4"/>
    <w:rsid w:val="00D57EF4"/>
    <w:rsid w:val="00D60CC7"/>
    <w:rsid w:val="00D61D8D"/>
    <w:rsid w:val="00D63C98"/>
    <w:rsid w:val="00D67264"/>
    <w:rsid w:val="00D67A7C"/>
    <w:rsid w:val="00D728B7"/>
    <w:rsid w:val="00D73605"/>
    <w:rsid w:val="00D74981"/>
    <w:rsid w:val="00D773E6"/>
    <w:rsid w:val="00D83963"/>
    <w:rsid w:val="00D85C24"/>
    <w:rsid w:val="00D87A88"/>
    <w:rsid w:val="00D93F71"/>
    <w:rsid w:val="00D94D5F"/>
    <w:rsid w:val="00D97C8A"/>
    <w:rsid w:val="00DA1417"/>
    <w:rsid w:val="00DA17A4"/>
    <w:rsid w:val="00DA2BFE"/>
    <w:rsid w:val="00DA3886"/>
    <w:rsid w:val="00DA3AB1"/>
    <w:rsid w:val="00DA5BCC"/>
    <w:rsid w:val="00DA605E"/>
    <w:rsid w:val="00DB23EB"/>
    <w:rsid w:val="00DB3DAA"/>
    <w:rsid w:val="00DB5C11"/>
    <w:rsid w:val="00DB7844"/>
    <w:rsid w:val="00DC05FA"/>
    <w:rsid w:val="00DC66AD"/>
    <w:rsid w:val="00DD3411"/>
    <w:rsid w:val="00DD5961"/>
    <w:rsid w:val="00DE035B"/>
    <w:rsid w:val="00DE47BE"/>
    <w:rsid w:val="00DE4C91"/>
    <w:rsid w:val="00DE4CE0"/>
    <w:rsid w:val="00DF295F"/>
    <w:rsid w:val="00DF3D86"/>
    <w:rsid w:val="00DF5C6D"/>
    <w:rsid w:val="00DF75CD"/>
    <w:rsid w:val="00E00735"/>
    <w:rsid w:val="00E02E0E"/>
    <w:rsid w:val="00E045C8"/>
    <w:rsid w:val="00E04968"/>
    <w:rsid w:val="00E11366"/>
    <w:rsid w:val="00E12C27"/>
    <w:rsid w:val="00E15227"/>
    <w:rsid w:val="00E16724"/>
    <w:rsid w:val="00E17103"/>
    <w:rsid w:val="00E173E1"/>
    <w:rsid w:val="00E21153"/>
    <w:rsid w:val="00E24D78"/>
    <w:rsid w:val="00E278CF"/>
    <w:rsid w:val="00E322D7"/>
    <w:rsid w:val="00E3285B"/>
    <w:rsid w:val="00E345B0"/>
    <w:rsid w:val="00E35394"/>
    <w:rsid w:val="00E354E8"/>
    <w:rsid w:val="00E35656"/>
    <w:rsid w:val="00E3598B"/>
    <w:rsid w:val="00E367A4"/>
    <w:rsid w:val="00E40982"/>
    <w:rsid w:val="00E4695D"/>
    <w:rsid w:val="00E46B0B"/>
    <w:rsid w:val="00E47F7B"/>
    <w:rsid w:val="00E50BD7"/>
    <w:rsid w:val="00E51A37"/>
    <w:rsid w:val="00E56638"/>
    <w:rsid w:val="00E56B52"/>
    <w:rsid w:val="00E56EAA"/>
    <w:rsid w:val="00E57B00"/>
    <w:rsid w:val="00E57FC6"/>
    <w:rsid w:val="00E60E8D"/>
    <w:rsid w:val="00E61C26"/>
    <w:rsid w:val="00E740C5"/>
    <w:rsid w:val="00E74A4C"/>
    <w:rsid w:val="00E80025"/>
    <w:rsid w:val="00E82C74"/>
    <w:rsid w:val="00E851BA"/>
    <w:rsid w:val="00E85ACE"/>
    <w:rsid w:val="00E85B11"/>
    <w:rsid w:val="00E871D8"/>
    <w:rsid w:val="00E871F3"/>
    <w:rsid w:val="00E902BF"/>
    <w:rsid w:val="00E90BCF"/>
    <w:rsid w:val="00E93E4D"/>
    <w:rsid w:val="00E94B5C"/>
    <w:rsid w:val="00E95CE3"/>
    <w:rsid w:val="00EA0B6D"/>
    <w:rsid w:val="00EA13CF"/>
    <w:rsid w:val="00EA1F26"/>
    <w:rsid w:val="00EA4731"/>
    <w:rsid w:val="00EB4056"/>
    <w:rsid w:val="00EB5BA2"/>
    <w:rsid w:val="00EB6359"/>
    <w:rsid w:val="00EB7519"/>
    <w:rsid w:val="00EC0525"/>
    <w:rsid w:val="00EC0F28"/>
    <w:rsid w:val="00EC2825"/>
    <w:rsid w:val="00EC3207"/>
    <w:rsid w:val="00EC429B"/>
    <w:rsid w:val="00EC6060"/>
    <w:rsid w:val="00EC6CF5"/>
    <w:rsid w:val="00ED3539"/>
    <w:rsid w:val="00ED39EC"/>
    <w:rsid w:val="00ED6F8F"/>
    <w:rsid w:val="00EE4BBC"/>
    <w:rsid w:val="00EE53B8"/>
    <w:rsid w:val="00EE7B7B"/>
    <w:rsid w:val="00EF1499"/>
    <w:rsid w:val="00EF1BDE"/>
    <w:rsid w:val="00EF3904"/>
    <w:rsid w:val="00EF530F"/>
    <w:rsid w:val="00F0056A"/>
    <w:rsid w:val="00F02F9E"/>
    <w:rsid w:val="00F042C7"/>
    <w:rsid w:val="00F045BA"/>
    <w:rsid w:val="00F07F1A"/>
    <w:rsid w:val="00F14049"/>
    <w:rsid w:val="00F14CA8"/>
    <w:rsid w:val="00F21A40"/>
    <w:rsid w:val="00F21A54"/>
    <w:rsid w:val="00F2744E"/>
    <w:rsid w:val="00F337BC"/>
    <w:rsid w:val="00F41D8B"/>
    <w:rsid w:val="00F43F17"/>
    <w:rsid w:val="00F45058"/>
    <w:rsid w:val="00F45BAD"/>
    <w:rsid w:val="00F46877"/>
    <w:rsid w:val="00F513E4"/>
    <w:rsid w:val="00F51855"/>
    <w:rsid w:val="00F51DAC"/>
    <w:rsid w:val="00F54E5E"/>
    <w:rsid w:val="00F555F7"/>
    <w:rsid w:val="00F62A37"/>
    <w:rsid w:val="00F633AA"/>
    <w:rsid w:val="00F64ABA"/>
    <w:rsid w:val="00F72E98"/>
    <w:rsid w:val="00F74B7E"/>
    <w:rsid w:val="00F75138"/>
    <w:rsid w:val="00F759C6"/>
    <w:rsid w:val="00F80A3F"/>
    <w:rsid w:val="00F8146C"/>
    <w:rsid w:val="00F81E41"/>
    <w:rsid w:val="00F833D4"/>
    <w:rsid w:val="00F852D4"/>
    <w:rsid w:val="00F90C69"/>
    <w:rsid w:val="00F9286D"/>
    <w:rsid w:val="00F941D5"/>
    <w:rsid w:val="00F954DB"/>
    <w:rsid w:val="00FA0763"/>
    <w:rsid w:val="00FA3E61"/>
    <w:rsid w:val="00FA7D6B"/>
    <w:rsid w:val="00FA7F30"/>
    <w:rsid w:val="00FB7485"/>
    <w:rsid w:val="00FC19E1"/>
    <w:rsid w:val="00FC318C"/>
    <w:rsid w:val="00FC38D1"/>
    <w:rsid w:val="00FD111D"/>
    <w:rsid w:val="00FD2780"/>
    <w:rsid w:val="00FD3ED4"/>
    <w:rsid w:val="00FD506F"/>
    <w:rsid w:val="00FD5187"/>
    <w:rsid w:val="00FE0E97"/>
    <w:rsid w:val="00FE35BE"/>
    <w:rsid w:val="00FE3BC3"/>
    <w:rsid w:val="00FE4B99"/>
    <w:rsid w:val="00FE6322"/>
    <w:rsid w:val="00FF215F"/>
    <w:rsid w:val="00F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5ADE"/>
  <w15:docId w15:val="{1651E396-CD66-4A6B-A981-CEEE8564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F98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tlu1">
    <w:name w:val="l5tlu1"/>
    <w:basedOn w:val="DefaultParagraphFont"/>
    <w:qFormat/>
    <w:rsid w:val="00165F98"/>
    <w:rPr>
      <w:b/>
      <w:bCs/>
      <w:color w:val="000000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165F98"/>
    <w:rPr>
      <w:color w:val="0000FF"/>
      <w:u w:val="single"/>
    </w:rPr>
  </w:style>
  <w:style w:type="character" w:customStyle="1" w:styleId="l5prm1">
    <w:name w:val="l5prm1"/>
    <w:basedOn w:val="DefaultParagraphFont"/>
    <w:rsid w:val="00165F98"/>
    <w:rPr>
      <w:i/>
      <w:iCs/>
      <w:color w:val="000000"/>
      <w:sz w:val="26"/>
      <w:szCs w:val="26"/>
    </w:rPr>
  </w:style>
  <w:style w:type="character" w:customStyle="1" w:styleId="l5prm2">
    <w:name w:val="l5prm2"/>
    <w:basedOn w:val="DefaultParagraphFont"/>
    <w:rsid w:val="00165F98"/>
    <w:rPr>
      <w:i/>
      <w:iCs/>
      <w:color w:val="000000"/>
      <w:sz w:val="26"/>
      <w:szCs w:val="26"/>
    </w:rPr>
  </w:style>
  <w:style w:type="character" w:customStyle="1" w:styleId="l5prm3">
    <w:name w:val="l5prm3"/>
    <w:basedOn w:val="DefaultParagraphFont"/>
    <w:rsid w:val="00165F98"/>
    <w:rPr>
      <w:i/>
      <w:iCs/>
      <w:color w:val="000000"/>
      <w:sz w:val="26"/>
      <w:szCs w:val="26"/>
    </w:rPr>
  </w:style>
  <w:style w:type="character" w:customStyle="1" w:styleId="l5def1">
    <w:name w:val="l5def1"/>
    <w:basedOn w:val="DefaultParagraphFont"/>
    <w:rsid w:val="00165F98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165F98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165F98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165F98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165F98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165F98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165F98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165F98"/>
    <w:rPr>
      <w:rFonts w:ascii="Arial" w:hAnsi="Arial" w:cs="Arial" w:hint="default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E0A"/>
    <w:rPr>
      <w:rFonts w:ascii="Segoe UI" w:eastAsiaTheme="minorEastAsia" w:hAnsi="Segoe UI" w:cs="Segoe UI"/>
      <w:sz w:val="18"/>
      <w:szCs w:val="18"/>
      <w:lang w:val="ro-RO" w:eastAsia="ro-RO"/>
    </w:rPr>
  </w:style>
  <w:style w:type="paragraph" w:styleId="ListParagraph">
    <w:name w:val="List Paragraph"/>
    <w:basedOn w:val="Normal"/>
    <w:uiPriority w:val="34"/>
    <w:qFormat/>
    <w:rsid w:val="00790721"/>
    <w:pPr>
      <w:ind w:left="720"/>
      <w:contextualSpacing/>
    </w:pPr>
  </w:style>
  <w:style w:type="character" w:customStyle="1" w:styleId="sden">
    <w:name w:val="s_den"/>
    <w:basedOn w:val="DefaultParagraphFont"/>
    <w:rsid w:val="00053BE1"/>
  </w:style>
  <w:style w:type="character" w:customStyle="1" w:styleId="shdr">
    <w:name w:val="s_hdr"/>
    <w:basedOn w:val="DefaultParagraphFont"/>
    <w:rsid w:val="00053BE1"/>
  </w:style>
  <w:style w:type="character" w:customStyle="1" w:styleId="spct">
    <w:name w:val="s_pct"/>
    <w:basedOn w:val="DefaultParagraphFont"/>
    <w:rsid w:val="00053BE1"/>
  </w:style>
  <w:style w:type="character" w:customStyle="1" w:styleId="spctttl">
    <w:name w:val="s_pct_ttl"/>
    <w:basedOn w:val="DefaultParagraphFont"/>
    <w:rsid w:val="00053BE1"/>
  </w:style>
  <w:style w:type="character" w:customStyle="1" w:styleId="spctbdy">
    <w:name w:val="s_pct_bdy"/>
    <w:basedOn w:val="DefaultParagraphFont"/>
    <w:rsid w:val="00053BE1"/>
  </w:style>
  <w:style w:type="paragraph" w:styleId="NoSpacing">
    <w:name w:val="No Spacing"/>
    <w:uiPriority w:val="1"/>
    <w:qFormat/>
    <w:rsid w:val="00CA0D03"/>
    <w:pPr>
      <w:spacing w:after="0" w:line="240" w:lineRule="auto"/>
    </w:pPr>
    <w:rPr>
      <w:rFonts w:eastAsiaTheme="minorEastAsia"/>
      <w:lang w:val="ro-RO" w:eastAsia="ro-RO"/>
    </w:rPr>
  </w:style>
  <w:style w:type="character" w:customStyle="1" w:styleId="spar">
    <w:name w:val="s_par"/>
    <w:basedOn w:val="DefaultParagraphFont"/>
    <w:rsid w:val="0086282C"/>
  </w:style>
  <w:style w:type="table" w:styleId="TableGrid">
    <w:name w:val="Table Grid"/>
    <w:basedOn w:val="TableNormal"/>
    <w:uiPriority w:val="39"/>
    <w:rsid w:val="00B24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ttl">
    <w:name w:val="s_aln_ttl"/>
    <w:basedOn w:val="DefaultParagraphFont"/>
    <w:rsid w:val="009439FE"/>
  </w:style>
  <w:style w:type="character" w:customStyle="1" w:styleId="salnbdy">
    <w:name w:val="s_aln_bdy"/>
    <w:basedOn w:val="DefaultParagraphFont"/>
    <w:rsid w:val="009439FE"/>
  </w:style>
  <w:style w:type="character" w:customStyle="1" w:styleId="l5ghi1">
    <w:name w:val="l5_ghi1"/>
    <w:rsid w:val="00841F50"/>
    <w:rPr>
      <w:sz w:val="26"/>
      <w:szCs w:val="26"/>
    </w:rPr>
  </w:style>
  <w:style w:type="character" w:customStyle="1" w:styleId="slit">
    <w:name w:val="s_lit"/>
    <w:basedOn w:val="DefaultParagraphFont"/>
    <w:rsid w:val="00927A14"/>
  </w:style>
  <w:style w:type="character" w:customStyle="1" w:styleId="slitttl">
    <w:name w:val="s_lit_ttl"/>
    <w:basedOn w:val="DefaultParagraphFont"/>
    <w:rsid w:val="00927A14"/>
  </w:style>
  <w:style w:type="character" w:customStyle="1" w:styleId="slitbdy">
    <w:name w:val="s_lit_bdy"/>
    <w:basedOn w:val="DefaultParagraphFont"/>
    <w:rsid w:val="00927A14"/>
  </w:style>
  <w:style w:type="paragraph" w:styleId="Revision">
    <w:name w:val="Revision"/>
    <w:hidden/>
    <w:uiPriority w:val="99"/>
    <w:semiHidden/>
    <w:rsid w:val="00DE4CE0"/>
    <w:pPr>
      <w:spacing w:after="0" w:line="240" w:lineRule="auto"/>
    </w:pPr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6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642A4-C42E-49AA-8959-8C5897D8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CENAFER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Murgeanu</dc:creator>
  <cp:lastModifiedBy>Ministerul Transporturilor</cp:lastModifiedBy>
  <cp:revision>14</cp:revision>
  <cp:lastPrinted>2025-07-07T06:39:00Z</cp:lastPrinted>
  <dcterms:created xsi:type="dcterms:W3CDTF">2025-07-07T04:49:00Z</dcterms:created>
  <dcterms:modified xsi:type="dcterms:W3CDTF">2025-07-24T09:56:00Z</dcterms:modified>
</cp:coreProperties>
</file>